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DC0A" w14:textId="77777777" w:rsidR="00B237C8" w:rsidRPr="00E34476" w:rsidRDefault="00B237C8" w:rsidP="00E34476">
      <w:pPr>
        <w:tabs>
          <w:tab w:val="left" w:pos="2640"/>
        </w:tabs>
        <w:ind w:right="-3478"/>
        <w:rPr>
          <w:rFonts w:asciiTheme="minorHAnsi" w:hAnsiTheme="minorHAnsi" w:cstheme="minorHAnsi"/>
        </w:rPr>
      </w:pPr>
    </w:p>
    <w:p w14:paraId="03AA031E" w14:textId="264A35B3" w:rsidR="00E34476" w:rsidRPr="00E34476" w:rsidRDefault="00E34476" w:rsidP="00E34476">
      <w:pPr>
        <w:ind w:right="-3620"/>
        <w:rPr>
          <w:rFonts w:asciiTheme="minorHAnsi" w:hAnsiTheme="minorHAnsi" w:cstheme="minorHAnsi"/>
        </w:rPr>
        <w:sectPr w:rsidR="00E34476" w:rsidRPr="00E34476" w:rsidSect="00E34476">
          <w:headerReference w:type="first" r:id="rId7"/>
          <w:footerReference w:type="first" r:id="rId8"/>
          <w:type w:val="continuous"/>
          <w:pgSz w:w="16838" w:h="11906" w:orient="landscape" w:code="9"/>
          <w:pgMar w:top="1418" w:right="962" w:bottom="851" w:left="1701" w:header="737" w:footer="567" w:gutter="0"/>
          <w:cols w:space="708"/>
          <w:titlePg/>
          <w:docGrid w:linePitch="360"/>
        </w:sectPr>
      </w:pPr>
    </w:p>
    <w:p w14:paraId="1DD635FB" w14:textId="77777777" w:rsidR="0056444B" w:rsidRPr="00E34476" w:rsidRDefault="0056444B" w:rsidP="0056444B">
      <w:pPr>
        <w:pStyle w:val="Bezriadkovania"/>
        <w:ind w:left="360"/>
        <w:jc w:val="center"/>
        <w:rPr>
          <w:rFonts w:cstheme="minorHAnsi"/>
          <w:b/>
          <w:bCs/>
          <w:sz w:val="28"/>
          <w:szCs w:val="28"/>
        </w:rPr>
      </w:pPr>
      <w:r w:rsidRPr="00E34476">
        <w:rPr>
          <w:rFonts w:cstheme="minorHAnsi"/>
          <w:b/>
          <w:bCs/>
          <w:sz w:val="28"/>
          <w:szCs w:val="28"/>
        </w:rPr>
        <w:t xml:space="preserve">Kritériá pre používanie označenia „NVC“ </w:t>
      </w:r>
    </w:p>
    <w:p w14:paraId="3DE19688" w14:textId="77777777" w:rsidR="0056444B" w:rsidRPr="00E34476" w:rsidRDefault="0056444B" w:rsidP="0056444B">
      <w:pPr>
        <w:pStyle w:val="Bezriadkovania"/>
        <w:ind w:left="360"/>
        <w:jc w:val="center"/>
        <w:rPr>
          <w:rFonts w:cstheme="minorHAnsi"/>
          <w:b/>
          <w:bCs/>
          <w:sz w:val="28"/>
          <w:szCs w:val="28"/>
        </w:rPr>
      </w:pPr>
      <w:r w:rsidRPr="00E34476">
        <w:rPr>
          <w:rFonts w:cstheme="minorHAnsi"/>
          <w:b/>
          <w:bCs/>
          <w:sz w:val="28"/>
          <w:szCs w:val="28"/>
        </w:rPr>
        <w:t>a očakávaný progres plnenia kritérií pre používanie označenia pre obdobie do 31.12.2024</w:t>
      </w:r>
    </w:p>
    <w:p w14:paraId="1258A9AA" w14:textId="77777777" w:rsidR="0056444B" w:rsidRPr="00E34476" w:rsidRDefault="0056444B" w:rsidP="0056444B">
      <w:pPr>
        <w:pStyle w:val="Bezriadkovania"/>
        <w:ind w:left="360"/>
        <w:jc w:val="center"/>
        <w:rPr>
          <w:rFonts w:cstheme="minorHAnsi"/>
          <w:sz w:val="32"/>
          <w:szCs w:val="32"/>
        </w:rPr>
      </w:pPr>
    </w:p>
    <w:p w14:paraId="6E719275" w14:textId="77777777" w:rsidR="0056444B" w:rsidRPr="00E34476" w:rsidRDefault="0056444B" w:rsidP="0056444B">
      <w:pPr>
        <w:pStyle w:val="Bezriadkovania"/>
        <w:ind w:left="-993"/>
        <w:jc w:val="both"/>
        <w:rPr>
          <w:rFonts w:cstheme="minorHAnsi"/>
        </w:rPr>
      </w:pPr>
      <w:r w:rsidRPr="00E34476">
        <w:rPr>
          <w:rFonts w:cstheme="minorHAnsi"/>
        </w:rPr>
        <w:t xml:space="preserve">Pri prvom rozhodovaní o oprávnení zamestnávateľa používať označenie NVC musí zamestnávateľ splniť minimálny vstupný štandard hodnotenia jednotlivých kritérií. Celkové požadované skóre pre vstupný štandard je 22 bodov. </w:t>
      </w:r>
    </w:p>
    <w:p w14:paraId="160C7915" w14:textId="77777777" w:rsidR="0056444B" w:rsidRPr="00E34476" w:rsidRDefault="0056444B" w:rsidP="0056444B">
      <w:pPr>
        <w:pStyle w:val="Bezriadkovania"/>
        <w:ind w:left="-993"/>
        <w:jc w:val="both"/>
        <w:rPr>
          <w:rFonts w:cstheme="minorHAnsi"/>
        </w:rPr>
      </w:pPr>
    </w:p>
    <w:p w14:paraId="778DE7BA" w14:textId="6C47D5BB" w:rsidR="0056444B" w:rsidRPr="00E34476" w:rsidRDefault="0056444B" w:rsidP="0056444B">
      <w:pPr>
        <w:pStyle w:val="Bezriadkovania"/>
        <w:ind w:left="-993"/>
        <w:jc w:val="both"/>
        <w:rPr>
          <w:rFonts w:cstheme="minorHAnsi"/>
        </w:rPr>
      </w:pPr>
      <w:r w:rsidRPr="00E34476">
        <w:rPr>
          <w:rFonts w:cstheme="minorHAnsi"/>
        </w:rPr>
        <w:t xml:space="preserve">Zamestnávateľ je povinný dosiahnuť očakávaný progres v plnení hodnotiacich kritérií na konci príslušného obdobia, určeného v týchto kritériách a zaslať </w:t>
      </w:r>
      <w:r w:rsidR="007B5BF9">
        <w:rPr>
          <w:rFonts w:cstheme="minorHAnsi"/>
        </w:rPr>
        <w:t>SPPK</w:t>
      </w:r>
      <w:r w:rsidRPr="00E34476">
        <w:rPr>
          <w:rFonts w:cstheme="minorHAnsi"/>
        </w:rPr>
        <w:t xml:space="preserve"> správu o plnení očakávaného progresu a to najneskôr 30 dní pred koncom príslušného obdobia.</w:t>
      </w:r>
    </w:p>
    <w:p w14:paraId="19FFC741" w14:textId="77777777" w:rsidR="0056444B" w:rsidRPr="00E34476" w:rsidRDefault="0056444B" w:rsidP="0056444B">
      <w:pPr>
        <w:pStyle w:val="Bezriadkovania"/>
        <w:ind w:left="-993"/>
        <w:jc w:val="both"/>
        <w:rPr>
          <w:rFonts w:cstheme="minorHAnsi"/>
        </w:rPr>
      </w:pPr>
    </w:p>
    <w:p w14:paraId="048BC5AF" w14:textId="4133CAD0" w:rsidR="0056444B" w:rsidRPr="00E34476" w:rsidRDefault="007B5BF9" w:rsidP="0056444B">
      <w:pPr>
        <w:pStyle w:val="Bezriadkovania"/>
        <w:ind w:left="-993"/>
        <w:jc w:val="both"/>
        <w:rPr>
          <w:rFonts w:cstheme="minorHAnsi"/>
        </w:rPr>
      </w:pPr>
      <w:r>
        <w:rPr>
          <w:rFonts w:cstheme="minorHAnsi"/>
        </w:rPr>
        <w:t>SPPK</w:t>
      </w:r>
      <w:r w:rsidR="0056444B" w:rsidRPr="00E34476">
        <w:rPr>
          <w:rFonts w:cstheme="minorHAnsi"/>
        </w:rPr>
        <w:t xml:space="preserve"> vyhodnocuje plnenie očakávaného progresu plnenia hodnotiacich kritérií vždy na konci sledovaného obdobia.</w:t>
      </w:r>
    </w:p>
    <w:p w14:paraId="012B7F7A" w14:textId="77777777" w:rsidR="0056444B" w:rsidRPr="00E34476" w:rsidRDefault="0056444B" w:rsidP="0056444B">
      <w:pPr>
        <w:pStyle w:val="Bezriadkovania"/>
        <w:ind w:left="-1134"/>
        <w:jc w:val="both"/>
        <w:rPr>
          <w:rFonts w:cstheme="minorHAnsi"/>
          <w:b/>
          <w:bCs/>
          <w:sz w:val="28"/>
          <w:szCs w:val="28"/>
        </w:rPr>
      </w:pPr>
    </w:p>
    <w:p w14:paraId="7CC627EF" w14:textId="77777777" w:rsidR="0056444B" w:rsidRPr="00E34476" w:rsidRDefault="0056444B" w:rsidP="0056444B">
      <w:pPr>
        <w:pStyle w:val="Odsekzoznamu"/>
        <w:numPr>
          <w:ilvl w:val="0"/>
          <w:numId w:val="3"/>
        </w:numPr>
        <w:ind w:left="-567" w:right="-637" w:hanging="567"/>
        <w:rPr>
          <w:rFonts w:cstheme="minorHAnsi"/>
          <w:b/>
          <w:bCs/>
          <w:sz w:val="20"/>
          <w:szCs w:val="20"/>
        </w:rPr>
      </w:pPr>
      <w:r w:rsidRPr="00E34476">
        <w:rPr>
          <w:rFonts w:cstheme="minorHAnsi"/>
          <w:b/>
          <w:bCs/>
          <w:sz w:val="20"/>
          <w:szCs w:val="20"/>
        </w:rPr>
        <w:t xml:space="preserve">Strategické plánovanie, partnerstvá a podmienky pre vzdelávacie aktivity </w:t>
      </w:r>
    </w:p>
    <w:tbl>
      <w:tblPr>
        <w:tblStyle w:val="Mriekatabuky"/>
        <w:tblW w:w="15310" w:type="dxa"/>
        <w:tblInd w:w="-1139" w:type="dxa"/>
        <w:tblLook w:val="04A0" w:firstRow="1" w:lastRow="0" w:firstColumn="1" w:lastColumn="0" w:noHBand="0" w:noVBand="1"/>
      </w:tblPr>
      <w:tblGrid>
        <w:gridCol w:w="902"/>
        <w:gridCol w:w="2412"/>
        <w:gridCol w:w="2872"/>
        <w:gridCol w:w="3587"/>
        <w:gridCol w:w="1001"/>
        <w:gridCol w:w="4536"/>
      </w:tblGrid>
      <w:tr w:rsidR="0056444B" w:rsidRPr="00E34476" w14:paraId="204D5DD8" w14:textId="77777777" w:rsidTr="004F0B3A">
        <w:trPr>
          <w:trHeight w:val="281"/>
        </w:trPr>
        <w:tc>
          <w:tcPr>
            <w:tcW w:w="902" w:type="dxa"/>
            <w:shd w:val="clear" w:color="auto" w:fill="D9D9D9" w:themeFill="background1" w:themeFillShade="D9"/>
            <w:vAlign w:val="center"/>
          </w:tcPr>
          <w:p w14:paraId="58F6FA01" w14:textId="77777777" w:rsidR="0056444B" w:rsidRPr="00E34476" w:rsidRDefault="0056444B" w:rsidP="004F0B3A">
            <w:pPr>
              <w:pStyle w:val="Bezriadkovania"/>
              <w:ind w:left="34"/>
              <w:jc w:val="center"/>
              <w:rPr>
                <w:rFonts w:cstheme="minorHAnsi"/>
                <w:sz w:val="20"/>
                <w:szCs w:val="20"/>
                <w:highlight w:val="lightGray"/>
              </w:rPr>
            </w:pPr>
            <w:r w:rsidRPr="00E34476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>Por. číslo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15E1D940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  <w:highlight w:val="lightGray"/>
              </w:rPr>
            </w:pPr>
            <w:r w:rsidRPr="00E34476">
              <w:rPr>
                <w:rFonts w:cstheme="minorHAnsi"/>
                <w:b/>
                <w:bCs/>
                <w:sz w:val="20"/>
                <w:szCs w:val="20"/>
                <w:highlight w:val="lightGray"/>
              </w:rPr>
              <w:t>Kritérium</w:t>
            </w:r>
          </w:p>
        </w:tc>
        <w:tc>
          <w:tcPr>
            <w:tcW w:w="2872" w:type="dxa"/>
            <w:shd w:val="clear" w:color="auto" w:fill="D9D9D9" w:themeFill="background1" w:themeFillShade="D9"/>
            <w:vAlign w:val="center"/>
          </w:tcPr>
          <w:p w14:paraId="14581A6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Hodnotiaci štandard</w:t>
            </w:r>
          </w:p>
        </w:tc>
        <w:tc>
          <w:tcPr>
            <w:tcW w:w="3587" w:type="dxa"/>
            <w:shd w:val="clear" w:color="auto" w:fill="D9D9D9" w:themeFill="background1" w:themeFillShade="D9"/>
            <w:vAlign w:val="center"/>
          </w:tcPr>
          <w:p w14:paraId="12F9DD6D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  <w:highlight w:val="lightGray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Poznámka</w:t>
            </w:r>
          </w:p>
        </w:tc>
        <w:tc>
          <w:tcPr>
            <w:tcW w:w="1001" w:type="dxa"/>
            <w:shd w:val="clear" w:color="auto" w:fill="D9D9D9" w:themeFill="background1" w:themeFillShade="D9"/>
            <w:vAlign w:val="center"/>
          </w:tcPr>
          <w:p w14:paraId="16B069AE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18"/>
                <w:szCs w:val="18"/>
                <w:highlight w:val="lightGray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Počet bodov za kritérium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D2EBD7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lightGray"/>
              </w:rPr>
              <w:t>Hodnotenie kritéria</w:t>
            </w:r>
          </w:p>
          <w:p w14:paraId="1EAE505A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  <w:highlight w:val="lightGray"/>
              </w:rPr>
            </w:pPr>
            <w:r w:rsidRPr="00E34476"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  <w:highlight w:val="yellow"/>
              </w:rPr>
              <w:t>Minimálny vstupný štandard hodnotenia kritériá</w:t>
            </w:r>
          </w:p>
        </w:tc>
      </w:tr>
      <w:tr w:rsidR="0056444B" w:rsidRPr="00E34476" w14:paraId="6660172A" w14:textId="77777777" w:rsidTr="004F0B3A">
        <w:trPr>
          <w:trHeight w:val="281"/>
        </w:trPr>
        <w:tc>
          <w:tcPr>
            <w:tcW w:w="902" w:type="dxa"/>
            <w:vMerge w:val="restart"/>
            <w:shd w:val="clear" w:color="auto" w:fill="FFFFFF" w:themeFill="background1"/>
            <w:vAlign w:val="center"/>
          </w:tcPr>
          <w:p w14:paraId="5315F671" w14:textId="77777777" w:rsidR="0056444B" w:rsidRPr="00E34476" w:rsidRDefault="0056444B" w:rsidP="0056444B">
            <w:pPr>
              <w:pStyle w:val="Bezriadkovania"/>
              <w:numPr>
                <w:ilvl w:val="0"/>
                <w:numId w:val="2"/>
              </w:numPr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shd w:val="clear" w:color="auto" w:fill="FFFFFF" w:themeFill="background1"/>
            <w:vAlign w:val="center"/>
          </w:tcPr>
          <w:p w14:paraId="0C9C3820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Spracovaná Stratégia kvality odborného vzdelávania a prípravy podľa potrieb trhu práce.</w:t>
            </w:r>
          </w:p>
        </w:tc>
        <w:tc>
          <w:tcPr>
            <w:tcW w:w="2872" w:type="dxa"/>
            <w:vMerge w:val="restart"/>
            <w:shd w:val="clear" w:color="auto" w:fill="FFFFFF" w:themeFill="background1"/>
            <w:vAlign w:val="center"/>
          </w:tcPr>
          <w:p w14:paraId="6021ECC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Schválená Stratégia kvality odborného vzdelávania a prípravy podľa potrieb trhu práce.</w:t>
            </w:r>
          </w:p>
          <w:p w14:paraId="10848CB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8182CB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Stratégia obsahuje štruktúry, procesy, právomoci, pôsobnosti, zodpovednosti pre zabezpečenie kvality poskytovaných vzdelávacích aktivít v NVC.</w:t>
            </w:r>
          </w:p>
          <w:p w14:paraId="627749B5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5538291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Stratégia kvality stanovuje očakávania osvedčených postupov OVP pred duálnym vzdelávaním, počas duálneho vzdelávania a po duálnom vzdelávaní.</w:t>
            </w:r>
          </w:p>
          <w:p w14:paraId="3FC4B80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 w:val="restart"/>
            <w:shd w:val="clear" w:color="auto" w:fill="FFFFFF" w:themeFill="background1"/>
            <w:vAlign w:val="center"/>
          </w:tcPr>
          <w:p w14:paraId="78D5166B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Súčasťou stratégie musí byť aj potvrdené partnerstvo so zamestnávateľmi, ktorí poskytujú praktické vyučovanie v systéme duálneho vzdelávania.</w:t>
            </w:r>
          </w:p>
          <w:p w14:paraId="21CA0F5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Partnerstvo musí byť potvrdené podpisom partnera a jeho vyhlásením, že pristupuje do partnerstva a že sa bude aktívne podieľať na plnení stratégie.</w:t>
            </w: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5FBA676C" w14:textId="77777777" w:rsidR="0056444B" w:rsidRPr="00E34476" w:rsidRDefault="0056444B" w:rsidP="004F0B3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0D1E81A4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Zamestnávateľ nemá vytvorenú 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Stratégiu kvality odborného vzdelávania a prípravy podľa potrieb trhu práce.</w:t>
            </w:r>
          </w:p>
        </w:tc>
      </w:tr>
      <w:tr w:rsidR="0056444B" w:rsidRPr="00E34476" w14:paraId="416B45C8" w14:textId="77777777" w:rsidTr="004F0B3A">
        <w:trPr>
          <w:trHeight w:val="279"/>
        </w:trPr>
        <w:tc>
          <w:tcPr>
            <w:tcW w:w="902" w:type="dxa"/>
            <w:vMerge/>
            <w:shd w:val="clear" w:color="auto" w:fill="FFFFFF" w:themeFill="background1"/>
            <w:vAlign w:val="center"/>
          </w:tcPr>
          <w:p w14:paraId="0F659501" w14:textId="77777777" w:rsidR="0056444B" w:rsidRPr="00E34476" w:rsidRDefault="0056444B" w:rsidP="0056444B">
            <w:pPr>
              <w:pStyle w:val="Bezriadkovania"/>
              <w:numPr>
                <w:ilvl w:val="0"/>
                <w:numId w:val="2"/>
              </w:numPr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FFFFFF" w:themeFill="background1"/>
            <w:vAlign w:val="center"/>
          </w:tcPr>
          <w:p w14:paraId="47120CAC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FFFFFF" w:themeFill="background1"/>
            <w:vAlign w:val="center"/>
          </w:tcPr>
          <w:p w14:paraId="1A7CFD0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shd w:val="clear" w:color="auto" w:fill="FFFFFF" w:themeFill="background1"/>
            <w:vAlign w:val="center"/>
          </w:tcPr>
          <w:p w14:paraId="4802ACA9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9A6AA0F" w14:textId="77777777" w:rsidR="0056444B" w:rsidRPr="00E34476" w:rsidRDefault="0056444B" w:rsidP="004F0B3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79D6D30B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Zamestnávateľ má vytvorené základné tézy Stratégie kvality poskytovaných vzdelávacích aktivít v NVC.</w:t>
            </w:r>
          </w:p>
        </w:tc>
      </w:tr>
      <w:tr w:rsidR="0056444B" w:rsidRPr="00E34476" w14:paraId="12006035" w14:textId="77777777" w:rsidTr="004F0B3A">
        <w:trPr>
          <w:trHeight w:val="279"/>
        </w:trPr>
        <w:tc>
          <w:tcPr>
            <w:tcW w:w="902" w:type="dxa"/>
            <w:vMerge/>
            <w:shd w:val="clear" w:color="auto" w:fill="FFFFFF" w:themeFill="background1"/>
            <w:vAlign w:val="center"/>
          </w:tcPr>
          <w:p w14:paraId="4B60DC01" w14:textId="77777777" w:rsidR="0056444B" w:rsidRPr="00E34476" w:rsidRDefault="0056444B" w:rsidP="0056444B">
            <w:pPr>
              <w:pStyle w:val="Bezriadkovania"/>
              <w:numPr>
                <w:ilvl w:val="0"/>
                <w:numId w:val="2"/>
              </w:numPr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FFFFFF" w:themeFill="background1"/>
            <w:vAlign w:val="center"/>
          </w:tcPr>
          <w:p w14:paraId="5DE4DDBD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FFFFFF" w:themeFill="background1"/>
            <w:vAlign w:val="center"/>
          </w:tcPr>
          <w:p w14:paraId="301B918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shd w:val="clear" w:color="auto" w:fill="FFFFFF" w:themeFill="background1"/>
            <w:vAlign w:val="center"/>
          </w:tcPr>
          <w:p w14:paraId="2CAA90CE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FF" w:themeFill="background1"/>
            <w:vAlign w:val="center"/>
          </w:tcPr>
          <w:p w14:paraId="2682017C" w14:textId="77777777" w:rsidR="0056444B" w:rsidRPr="00E34476" w:rsidRDefault="0056444B" w:rsidP="004F0B3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14:paraId="647FB2EF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Spracovaná a schválená Stratégia kvality odborného vzdelávania a prípravy podľa potrieb trhu obsahujúca ciele, štruktúry, prehľad procesov, právomocí, pôsobnosti a zodpovednosti za kvalitu vzdelávania s uvedením partnerov ale bez potvrdeného partnerstva</w:t>
            </w: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.</w:t>
            </w:r>
          </w:p>
        </w:tc>
      </w:tr>
      <w:tr w:rsidR="0056444B" w:rsidRPr="00E34476" w14:paraId="39939CE6" w14:textId="77777777" w:rsidTr="004F0B3A">
        <w:trPr>
          <w:trHeight w:val="279"/>
        </w:trPr>
        <w:tc>
          <w:tcPr>
            <w:tcW w:w="902" w:type="dxa"/>
            <w:vMerge/>
            <w:shd w:val="clear" w:color="auto" w:fill="FFFFFF" w:themeFill="background1"/>
            <w:vAlign w:val="center"/>
          </w:tcPr>
          <w:p w14:paraId="33777B84" w14:textId="77777777" w:rsidR="0056444B" w:rsidRPr="00E34476" w:rsidRDefault="0056444B" w:rsidP="0056444B">
            <w:pPr>
              <w:pStyle w:val="Bezriadkovania"/>
              <w:numPr>
                <w:ilvl w:val="0"/>
                <w:numId w:val="2"/>
              </w:numPr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FFFFFF" w:themeFill="background1"/>
            <w:vAlign w:val="center"/>
          </w:tcPr>
          <w:p w14:paraId="09CA3B84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FFFFFF" w:themeFill="background1"/>
            <w:vAlign w:val="center"/>
          </w:tcPr>
          <w:p w14:paraId="2E59F22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shd w:val="clear" w:color="auto" w:fill="FFFFFF" w:themeFill="background1"/>
            <w:vAlign w:val="center"/>
          </w:tcPr>
          <w:p w14:paraId="4BAB6250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  <w:vAlign w:val="center"/>
          </w:tcPr>
          <w:p w14:paraId="08E76DFC" w14:textId="77777777" w:rsidR="0056444B" w:rsidRPr="00E34476" w:rsidRDefault="0056444B" w:rsidP="004F0B3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317304A2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Spracovaná a schválená Stratégia kvality odborného vzdelávania a prípravy podľa potrieb trhu práce obsahujúca ciele, štruktúry, prehľad procesov, právomocí, pôsobnosti a zodpovednosti za kvalitu vzdelávania s uvedením partnerov a s potvrdeným partnerstvom</w:t>
            </w: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.</w:t>
            </w:r>
          </w:p>
          <w:p w14:paraId="24859B83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12"/>
                <w:szCs w:val="12"/>
              </w:rPr>
            </w:pPr>
          </w:p>
          <w:p w14:paraId="34ABB034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Chýba preukázanie aktívneho používania stratégie v praxi.</w:t>
            </w:r>
          </w:p>
        </w:tc>
      </w:tr>
      <w:tr w:rsidR="0056444B" w:rsidRPr="00E34476" w14:paraId="39886C0F" w14:textId="77777777" w:rsidTr="004F0B3A">
        <w:trPr>
          <w:trHeight w:val="279"/>
        </w:trPr>
        <w:tc>
          <w:tcPr>
            <w:tcW w:w="902" w:type="dxa"/>
            <w:vMerge/>
            <w:shd w:val="clear" w:color="auto" w:fill="FFFFFF" w:themeFill="background1"/>
            <w:vAlign w:val="center"/>
          </w:tcPr>
          <w:p w14:paraId="6EF6ED82" w14:textId="77777777" w:rsidR="0056444B" w:rsidRPr="00E34476" w:rsidRDefault="0056444B" w:rsidP="0056444B">
            <w:pPr>
              <w:pStyle w:val="Bezriadkovania"/>
              <w:numPr>
                <w:ilvl w:val="0"/>
                <w:numId w:val="2"/>
              </w:numPr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FFFFFF" w:themeFill="background1"/>
            <w:vAlign w:val="center"/>
          </w:tcPr>
          <w:p w14:paraId="120278C9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shd w:val="clear" w:color="auto" w:fill="FFFFFF" w:themeFill="background1"/>
            <w:vAlign w:val="center"/>
          </w:tcPr>
          <w:p w14:paraId="03E0618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shd w:val="clear" w:color="auto" w:fill="FFFFFF" w:themeFill="background1"/>
            <w:vAlign w:val="center"/>
          </w:tcPr>
          <w:p w14:paraId="52096B54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4E674AB5" w14:textId="77777777" w:rsidR="0056444B" w:rsidRPr="00E34476" w:rsidRDefault="0056444B" w:rsidP="004F0B3A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A9EFBF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Spracovaná a schválená Stratégia kvality odborného vzdelávania a prípravy podľa potrieb trhu práce obsahujúca ciele, štruktúry, prehľad procesov, právomocí, pôsobnosti a zodpovednosti za kvalitu vzdelávania s potvrdeným partnerstvom </w:t>
            </w: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a jeho vyhlásením, že pristupuje do partnerstva a že sa bude aktívne podieľať na plnení stratégie.</w:t>
            </w:r>
          </w:p>
          <w:p w14:paraId="715F6519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12"/>
                <w:szCs w:val="12"/>
              </w:rPr>
            </w:pPr>
          </w:p>
          <w:p w14:paraId="73B673E1" w14:textId="77777777" w:rsidR="0056444B" w:rsidRPr="00E34476" w:rsidRDefault="0056444B" w:rsidP="004F0B3A">
            <w:pPr>
              <w:autoSpaceDE w:val="0"/>
              <w:autoSpaceDN w:val="0"/>
              <w:adjustRightInd w:val="0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Stratégia sa už preukázateľne aktívne používa v praxi aj s aktívnym zapojením partnerov.</w:t>
            </w:r>
          </w:p>
        </w:tc>
      </w:tr>
      <w:tr w:rsidR="0056444B" w:rsidRPr="00E34476" w14:paraId="366F847B" w14:textId="77777777" w:rsidTr="004F0B3A">
        <w:trPr>
          <w:trHeight w:val="418"/>
        </w:trPr>
        <w:tc>
          <w:tcPr>
            <w:tcW w:w="902" w:type="dxa"/>
            <w:vMerge w:val="restart"/>
            <w:vAlign w:val="center"/>
          </w:tcPr>
          <w:p w14:paraId="41A655E3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vAlign w:val="center"/>
          </w:tcPr>
          <w:p w14:paraId="2539C886" w14:textId="4894A3AE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Partnerstvo so S</w:t>
            </w:r>
            <w:r w:rsidR="006D3A3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4CE751A" w14:textId="77777777" w:rsidR="0056444B" w:rsidRPr="00E34476" w:rsidRDefault="0056444B" w:rsidP="0056444B">
            <w:pPr>
              <w:pStyle w:val="Odsekzoznamu"/>
              <w:numPr>
                <w:ilvl w:val="0"/>
                <w:numId w:val="6"/>
              </w:numPr>
              <w:ind w:left="266" w:hanging="266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pri zákonnej alebo nadväzujúcej odbornej príprave hlavných inštruktorov alebo inštruktorov,</w:t>
            </w:r>
          </w:p>
          <w:p w14:paraId="6F6F37AA" w14:textId="77777777" w:rsidR="0056444B" w:rsidRPr="00E34476" w:rsidRDefault="0056444B" w:rsidP="0056444B">
            <w:pPr>
              <w:pStyle w:val="Odsekzoznamu"/>
              <w:numPr>
                <w:ilvl w:val="0"/>
                <w:numId w:val="6"/>
              </w:numPr>
              <w:ind w:left="266" w:hanging="266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pri vypracovaní jednotných zadaní pre záverečnú skúšku a pre odbornú zložku odbornej maturitnej skúšky,</w:t>
            </w:r>
          </w:p>
          <w:p w14:paraId="18B77111" w14:textId="77777777" w:rsidR="0056444B" w:rsidRPr="00E34476" w:rsidRDefault="0056444B" w:rsidP="0056444B">
            <w:pPr>
              <w:pStyle w:val="Odsekzoznamu"/>
              <w:numPr>
                <w:ilvl w:val="0"/>
                <w:numId w:val="6"/>
              </w:numPr>
              <w:ind w:left="266" w:hanging="266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 xml:space="preserve">pri vypracovaní alebo aktualizácii ŠVP, vzdelávacích štandardov, normatívov </w:t>
            </w:r>
            <w:proofErr w:type="spellStart"/>
            <w:r w:rsidRPr="00E34476">
              <w:rPr>
                <w:rFonts w:cstheme="minorHAnsi"/>
                <w:sz w:val="20"/>
                <w:szCs w:val="20"/>
              </w:rPr>
              <w:t>MTaPZ</w:t>
            </w:r>
            <w:proofErr w:type="spellEnd"/>
            <w:r w:rsidRPr="00E34476">
              <w:rPr>
                <w:rFonts w:cstheme="minorHAnsi"/>
                <w:sz w:val="20"/>
                <w:szCs w:val="20"/>
              </w:rPr>
              <w:t xml:space="preserve"> pre odbory vzdelávania v SDV,</w:t>
            </w:r>
          </w:p>
          <w:p w14:paraId="507959D7" w14:textId="77777777" w:rsidR="0056444B" w:rsidRPr="00E34476" w:rsidRDefault="0056444B" w:rsidP="0056444B">
            <w:pPr>
              <w:pStyle w:val="Odsekzoznamu"/>
              <w:numPr>
                <w:ilvl w:val="0"/>
                <w:numId w:val="6"/>
              </w:numPr>
              <w:ind w:left="266" w:hanging="266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pri experimentálnom overovaní odborov vzdelávania.</w:t>
            </w:r>
          </w:p>
        </w:tc>
        <w:tc>
          <w:tcPr>
            <w:tcW w:w="2872" w:type="dxa"/>
            <w:vMerge w:val="restart"/>
            <w:vAlign w:val="center"/>
          </w:tcPr>
          <w:p w14:paraId="5A785D94" w14:textId="450EA10E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Nadviazaná spolupráca so S</w:t>
            </w:r>
            <w:r w:rsidR="006D3A3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za účelom účasti NVC na vypracovaní výstupov uvedených v kritériu. </w:t>
            </w:r>
          </w:p>
          <w:p w14:paraId="56AAD3C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 w:val="restart"/>
            <w:vAlign w:val="center"/>
          </w:tcPr>
          <w:p w14:paraId="728A568C" w14:textId="2A5A8024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Zákonná príprava sa uskutočňuje v spolupráci s príslušnou S</w:t>
            </w:r>
            <w:r w:rsidR="006D3A3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podľa zákona o OVP a podľa vnútorného predpisu S</w:t>
            </w:r>
            <w:r w:rsidR="006D3A3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02724F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38C28F3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Nadväzujúca príprava nasleduje po zákonnej príprave hlavných inštruktorov alebo inštruktorov a jej cieľom je prehlbovanie a rozširovanie odborných kompetencií v záujme zvyšovania kvality SDV. </w:t>
            </w:r>
          </w:p>
          <w:p w14:paraId="1AFD2F9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E184C7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A2E13" w14:textId="2C9BC250" w:rsidR="0056444B" w:rsidRPr="00E34476" w:rsidRDefault="0056444B" w:rsidP="004F0B3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Pozn.: Ak nebude požiadavka na účasť NVC na aktivitách uvedených v kritériu, S</w:t>
            </w:r>
            <w:r w:rsidR="006D3A35" w:rsidRPr="00E344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primerane upraví hodnotenie kritéria a celkové hodnotenie kritérií.</w:t>
            </w:r>
          </w:p>
        </w:tc>
        <w:tc>
          <w:tcPr>
            <w:tcW w:w="1001" w:type="dxa"/>
            <w:vAlign w:val="center"/>
          </w:tcPr>
          <w:p w14:paraId="24065543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14:paraId="2201B452" w14:textId="4A3CB1AA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nemá vytvorené partnerstvo so </w:t>
            </w:r>
            <w:r w:rsidR="006D3A35" w:rsidRPr="00E34476">
              <w:rPr>
                <w:rFonts w:asciiTheme="minorHAnsi" w:hAnsiTheme="minorHAnsi" w:cstheme="minorHAnsi"/>
                <w:sz w:val="20"/>
                <w:szCs w:val="20"/>
              </w:rPr>
              <w:t>SPPK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za účelom spolupráce v oblasti OVP v rámci aktivít uvedených v popise kritériá.</w:t>
            </w:r>
          </w:p>
        </w:tc>
      </w:tr>
      <w:tr w:rsidR="0056444B" w:rsidRPr="00E34476" w14:paraId="0B7F7537" w14:textId="77777777" w:rsidTr="004F0B3A">
        <w:trPr>
          <w:trHeight w:val="416"/>
        </w:trPr>
        <w:tc>
          <w:tcPr>
            <w:tcW w:w="902" w:type="dxa"/>
            <w:vMerge/>
            <w:vAlign w:val="center"/>
          </w:tcPr>
          <w:p w14:paraId="6F3A4297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291987E1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537E814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37335A8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482430E0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2F73E0AF" w14:textId="04FC8A65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vytvorené partnerstvo so S</w:t>
            </w:r>
            <w:r w:rsidR="006D3A3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na výkon aktivít uvedených v popise kritériá ale aktívne sa ešte nezapojilo do uvedených aktivít.</w:t>
            </w:r>
          </w:p>
        </w:tc>
      </w:tr>
      <w:tr w:rsidR="0056444B" w:rsidRPr="00E34476" w14:paraId="4DB02904" w14:textId="77777777" w:rsidTr="004F0B3A">
        <w:trPr>
          <w:trHeight w:val="416"/>
        </w:trPr>
        <w:tc>
          <w:tcPr>
            <w:tcW w:w="902" w:type="dxa"/>
            <w:vMerge/>
            <w:vAlign w:val="center"/>
          </w:tcPr>
          <w:p w14:paraId="33C07814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79CB5A79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095AD18A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7C255F1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  <w:vAlign w:val="center"/>
          </w:tcPr>
          <w:p w14:paraId="40BDEBE4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510F7174" w14:textId="218F1FC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vytvorené partnerstvo so S</w:t>
            </w:r>
            <w:r w:rsidR="006D3A3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na výkon aktivít uvedených v popise kritériá a je aktívne zapojené do uvedených aktivít. </w:t>
            </w:r>
          </w:p>
          <w:p w14:paraId="588050F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Výstupy z aktivít nie sú ešte spracované.</w:t>
            </w:r>
          </w:p>
        </w:tc>
      </w:tr>
      <w:tr w:rsidR="0056444B" w:rsidRPr="00E34476" w14:paraId="1764B903" w14:textId="77777777" w:rsidTr="004F0B3A">
        <w:trPr>
          <w:trHeight w:val="416"/>
        </w:trPr>
        <w:tc>
          <w:tcPr>
            <w:tcW w:w="902" w:type="dxa"/>
            <w:vMerge/>
            <w:vAlign w:val="center"/>
          </w:tcPr>
          <w:p w14:paraId="7A226B3F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15794634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6886E52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1A12B03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59FFD32C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65535F8" w14:textId="5D1D97E4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vytvorené partnerstvo so S</w:t>
            </w:r>
            <w:r w:rsidR="006D3A3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na výkon aktivít uvedených v popise kritériá a je aktívne zapojené do uvedených aktivít. </w:t>
            </w:r>
          </w:p>
          <w:p w14:paraId="4E04560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Výstupy aktivít ešte nespĺňajú hodnotiaci štandard v celom rozsahu.</w:t>
            </w:r>
          </w:p>
        </w:tc>
      </w:tr>
      <w:tr w:rsidR="0056444B" w:rsidRPr="00E34476" w14:paraId="2601A22D" w14:textId="77777777" w:rsidTr="004F0B3A">
        <w:trPr>
          <w:trHeight w:val="416"/>
        </w:trPr>
        <w:tc>
          <w:tcPr>
            <w:tcW w:w="902" w:type="dxa"/>
            <w:vMerge/>
            <w:vAlign w:val="center"/>
          </w:tcPr>
          <w:p w14:paraId="0E1A6E9A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2711BA80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6E2C8EF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3E74E0E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4E616F4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0B5839" w14:textId="4FF96E18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vytvorené partnerstvo so S</w:t>
            </w:r>
            <w:r w:rsidR="006D3A3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na výkon aktivít uvedených v popise kritériá a je aktívne zapojené do uvedených aktivít. </w:t>
            </w:r>
          </w:p>
          <w:p w14:paraId="1044446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Výstupy spĺňajú hodnotiaci štandard v celom rozsahu.</w:t>
            </w:r>
          </w:p>
        </w:tc>
      </w:tr>
      <w:tr w:rsidR="0056444B" w:rsidRPr="00E34476" w14:paraId="63812CB6" w14:textId="77777777" w:rsidTr="004F0B3A">
        <w:trPr>
          <w:trHeight w:val="316"/>
        </w:trPr>
        <w:tc>
          <w:tcPr>
            <w:tcW w:w="902" w:type="dxa"/>
            <w:vMerge w:val="restart"/>
            <w:vAlign w:val="center"/>
          </w:tcPr>
          <w:p w14:paraId="27B76201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vAlign w:val="center"/>
          </w:tcPr>
          <w:p w14:paraId="4137890B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Samostatne vyčlenené priestorové, materiálno-technické zabezpečenie a personálne zabezpečenie 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 poskytovanie vzdelávacích aktivít.</w:t>
            </w:r>
          </w:p>
        </w:tc>
        <w:tc>
          <w:tcPr>
            <w:tcW w:w="2872" w:type="dxa"/>
            <w:vMerge w:val="restart"/>
            <w:vAlign w:val="center"/>
          </w:tcPr>
          <w:p w14:paraId="0A914C2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Spracovaná organizačná schéma NVC obsahujúca vyznačenie priestorového, materiálno-technického zabezpečenia 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 personálneho zabezpečenia pre vzdelávacie aktivity.</w:t>
            </w:r>
          </w:p>
          <w:p w14:paraId="03244ABE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254202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Existuje požadované vybavenie pre výkon vzdelávacích aktivít v priestoroch určených pre NVC.</w:t>
            </w:r>
          </w:p>
        </w:tc>
        <w:tc>
          <w:tcPr>
            <w:tcW w:w="3587" w:type="dxa"/>
            <w:vMerge w:val="restart"/>
            <w:vAlign w:val="center"/>
          </w:tcPr>
          <w:p w14:paraId="106377A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NVC nie je klasické pracovisko praktického vyučovania, ktorým môže byť aj bežný výrobný priestor u zamestnávateľa, v ktorom sa vykonáva pracovná činnosť, zhodná s prácou žiaka, 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ktorú žiak vykonáva v rámci praktického vyučovania s cieľom získať odborné zručnosti podľa vzdelávacieho štandardu odboru vzdelávania. </w:t>
            </w:r>
          </w:p>
        </w:tc>
        <w:tc>
          <w:tcPr>
            <w:tcW w:w="1001" w:type="dxa"/>
            <w:vAlign w:val="center"/>
          </w:tcPr>
          <w:p w14:paraId="52F22493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0</w:t>
            </w:r>
          </w:p>
        </w:tc>
        <w:tc>
          <w:tcPr>
            <w:tcW w:w="4536" w:type="dxa"/>
            <w:vAlign w:val="center"/>
          </w:tcPr>
          <w:p w14:paraId="2E71EC4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nemá vyčlenené samostatné priestory pre poskytovanie vzdelávacích aktivít v oblasti OVP.</w:t>
            </w:r>
          </w:p>
        </w:tc>
      </w:tr>
      <w:tr w:rsidR="0056444B" w:rsidRPr="00E34476" w14:paraId="23A498AE" w14:textId="77777777" w:rsidTr="004F0B3A">
        <w:trPr>
          <w:trHeight w:val="313"/>
        </w:trPr>
        <w:tc>
          <w:tcPr>
            <w:tcW w:w="902" w:type="dxa"/>
            <w:vMerge/>
            <w:vAlign w:val="center"/>
          </w:tcPr>
          <w:p w14:paraId="6D9D3DAC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4453DD7B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6064840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0B2A2AA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6BB248C3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319E5EB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má vyčlenené samostatné priestory pre poskytovanie vzdelávacích aktivít v oblasti OVP, nemá spracovanú organizačnú schému NVC, nemá 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kompletné MTZ a personálne zabezpečenie aktivít NVC podľa stratégie zvyšovania kvality OVP a ešte aktívne neposkytuje vzdelávacie aktivity.</w:t>
            </w:r>
          </w:p>
        </w:tc>
      </w:tr>
      <w:tr w:rsidR="0056444B" w:rsidRPr="00E34476" w14:paraId="69BB17FA" w14:textId="77777777" w:rsidTr="004F0B3A">
        <w:trPr>
          <w:trHeight w:val="313"/>
        </w:trPr>
        <w:tc>
          <w:tcPr>
            <w:tcW w:w="902" w:type="dxa"/>
            <w:vMerge/>
            <w:vAlign w:val="center"/>
          </w:tcPr>
          <w:p w14:paraId="7C820AE6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23E90288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3D12E15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185AA5F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  <w:vAlign w:val="center"/>
          </w:tcPr>
          <w:p w14:paraId="689D976C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00C6E7E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vyčlenené samostatné priestory pre poskytovanie vzdelávacích aktivít v oblasti OVP, má spracovanú organizačnú schému NVC, má kompletné MTZ a personálne zabezpečenie pre výkon aktivít NVC podľa stratégie zvyšovania kvality OVP a ešte aktívne neposkytuje vzdelávacie aktivity.</w:t>
            </w:r>
          </w:p>
        </w:tc>
      </w:tr>
      <w:tr w:rsidR="0056444B" w:rsidRPr="00E34476" w14:paraId="4F57D4AE" w14:textId="77777777" w:rsidTr="004F0B3A">
        <w:trPr>
          <w:trHeight w:val="313"/>
        </w:trPr>
        <w:tc>
          <w:tcPr>
            <w:tcW w:w="902" w:type="dxa"/>
            <w:vMerge/>
            <w:vAlign w:val="center"/>
          </w:tcPr>
          <w:p w14:paraId="4993BF37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441B8DC7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701ADB3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5159AC1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82BF526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968AA3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vyčlenené samostatné priestory pre poskytovanie vzdelávacích aktivít v oblasti OVP, má spracovanú organizačnú schému NVC, má kompletné MTZ a personálne zabezpečenie pre výkon aktivít NVC podľa stratégie zvyšovania kvality OVP a ešte aktívne neposkytuje všetky vzdelávacie aktivity podľa stratégie zvyšovania kvality OVP.</w:t>
            </w:r>
          </w:p>
        </w:tc>
      </w:tr>
      <w:tr w:rsidR="0056444B" w:rsidRPr="00E34476" w14:paraId="63EA338D" w14:textId="77777777" w:rsidTr="004F0B3A">
        <w:trPr>
          <w:trHeight w:val="313"/>
        </w:trPr>
        <w:tc>
          <w:tcPr>
            <w:tcW w:w="902" w:type="dxa"/>
            <w:vMerge/>
            <w:vAlign w:val="center"/>
          </w:tcPr>
          <w:p w14:paraId="7786EDFA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0E6476B3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3F2A73A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5AA3206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F1F4113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D10431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vyčlenené samostatné priestory pre poskytovanie vzdelávacích aktivít v oblasti OVP, má spracovanú organizačnú schému NVC, má kompletné MTZ a personálne zabezpečenie pre výkon aktivít NVC podľa stratégie zvyšovania kvality OVP a poskytuje všetky vzdelávacie aktivity podľa stratégie zvyšovania kvality OVP.</w:t>
            </w:r>
          </w:p>
        </w:tc>
      </w:tr>
      <w:tr w:rsidR="0056444B" w:rsidRPr="00E34476" w14:paraId="524A3FD3" w14:textId="77777777" w:rsidTr="004F0B3A">
        <w:trPr>
          <w:trHeight w:val="316"/>
        </w:trPr>
        <w:tc>
          <w:tcPr>
            <w:tcW w:w="902" w:type="dxa"/>
            <w:vMerge w:val="restart"/>
            <w:vAlign w:val="center"/>
          </w:tcPr>
          <w:p w14:paraId="2AC88788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vAlign w:val="center"/>
          </w:tcPr>
          <w:p w14:paraId="6A04480B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Partnerstvo so strednými odbornými školami a vysokými školami v rozsahu  poskytovaných vzdelávacích aktivít – výmena vyučujúcich a odborníkov, inovačné vzdelávania pedagogických zamestnancov a pod.. </w:t>
            </w:r>
          </w:p>
        </w:tc>
        <w:tc>
          <w:tcPr>
            <w:tcW w:w="2872" w:type="dxa"/>
            <w:vMerge w:val="restart"/>
            <w:vAlign w:val="center"/>
          </w:tcPr>
          <w:p w14:paraId="414CAD7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Nadviazaná spolupráca so strednými odbornými školami najmenej na obdobie 3 rokov.</w:t>
            </w:r>
          </w:p>
          <w:p w14:paraId="35A724B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83857B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Stratégia spolupráce je založená najmä na vzájomnej výmene vyučujúcich a  na inovačnom vzdelávaní a iných formách vzdelávania vyučujúcich odborných predmetov.</w:t>
            </w:r>
          </w:p>
          <w:p w14:paraId="548931F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2E4F871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Preukázateľná spolupráca s najmenej 2 strednými odbornými školami a 1 vysokou školou.</w:t>
            </w:r>
          </w:p>
        </w:tc>
        <w:tc>
          <w:tcPr>
            <w:tcW w:w="3587" w:type="dxa"/>
            <w:vMerge w:val="restart"/>
            <w:vAlign w:val="center"/>
          </w:tcPr>
          <w:p w14:paraId="3BFE181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Partnerstvo musí byť potvrdené spolupracujúcimi školami.</w:t>
            </w:r>
          </w:p>
        </w:tc>
        <w:tc>
          <w:tcPr>
            <w:tcW w:w="1001" w:type="dxa"/>
            <w:vAlign w:val="center"/>
          </w:tcPr>
          <w:p w14:paraId="1DEF97BB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14:paraId="0B9CA53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nemá nadviazanú spolupráce so SOŠ pre oblasť celoživotného vzdelávania. </w:t>
            </w:r>
          </w:p>
          <w:p w14:paraId="137A34DA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Spolupráca je uskutočňovaná len formou poskytovania praktického vyučovania v SDV alebo v systéme školského vzdelávania.</w:t>
            </w:r>
          </w:p>
        </w:tc>
      </w:tr>
      <w:tr w:rsidR="0056444B" w:rsidRPr="00E34476" w14:paraId="06EC0B5D" w14:textId="77777777" w:rsidTr="004F0B3A">
        <w:trPr>
          <w:trHeight w:val="313"/>
        </w:trPr>
        <w:tc>
          <w:tcPr>
            <w:tcW w:w="902" w:type="dxa"/>
            <w:vMerge/>
            <w:vAlign w:val="center"/>
          </w:tcPr>
          <w:p w14:paraId="057F5713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013C2A14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7C27014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7F67F91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  <w:vAlign w:val="center"/>
          </w:tcPr>
          <w:p w14:paraId="52CC1B68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7B44513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vytvorené partnerstvo so SOŠ a poskytuje inovačné vzdelávanie pre pedagogických zamestnancov najmenej z 1 školy.</w:t>
            </w:r>
          </w:p>
        </w:tc>
      </w:tr>
      <w:tr w:rsidR="0056444B" w:rsidRPr="00E34476" w14:paraId="34F1EC2C" w14:textId="77777777" w:rsidTr="004F0B3A">
        <w:trPr>
          <w:trHeight w:val="313"/>
        </w:trPr>
        <w:tc>
          <w:tcPr>
            <w:tcW w:w="902" w:type="dxa"/>
            <w:vMerge/>
            <w:vAlign w:val="center"/>
          </w:tcPr>
          <w:p w14:paraId="287CAFC0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526F1EBB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0BFADEC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3242236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2E552AD1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586C3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má vytvorené partnerstvo so SOŠ poskytuje inovačné vzdelávanie pre pedagogických zamestnancov škôl. </w:t>
            </w:r>
          </w:p>
          <w:p w14:paraId="1F3B6C9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V spolupráci so školou zabezpečuje vzdelávanie pre svojich zamestnancov, ktorí pracujú so žiakmi. </w:t>
            </w:r>
          </w:p>
          <w:p w14:paraId="45C1C00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Spolupráca sa týka 1 alebo 2 škôl a je preukázateľne dohodnutá na menej ako 3 roky.</w:t>
            </w:r>
          </w:p>
        </w:tc>
      </w:tr>
      <w:tr w:rsidR="0056444B" w:rsidRPr="00E34476" w14:paraId="32D3F47A" w14:textId="77777777" w:rsidTr="004F0B3A">
        <w:trPr>
          <w:trHeight w:val="313"/>
        </w:trPr>
        <w:tc>
          <w:tcPr>
            <w:tcW w:w="902" w:type="dxa"/>
            <w:vMerge/>
            <w:vAlign w:val="center"/>
          </w:tcPr>
          <w:p w14:paraId="3FFE1CF7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12AA066D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1FC53D2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6CC77B1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3BCA52F0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BDC878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má vytvorené partnerstvo so SOŠ a poskytuje inovačné vzdelávanie pre pedagogických zamestnancov škôl. </w:t>
            </w:r>
          </w:p>
          <w:p w14:paraId="3648CED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V spolupráci so školou zabezpečuje vzdelávanie pre svojich zamestnancov, ktorí pracujú so žiakmi. </w:t>
            </w:r>
          </w:p>
          <w:p w14:paraId="2233E4C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Škola využíva odborníkov NVC v rámci poskytovaného OVP.</w:t>
            </w:r>
          </w:p>
          <w:p w14:paraId="3BDD460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Spolupráca sa týka 1 alebo 2 škôl a je preukázateľne dohodnutá na viac ako 3 roky.</w:t>
            </w:r>
          </w:p>
        </w:tc>
      </w:tr>
      <w:tr w:rsidR="0056444B" w:rsidRPr="00E34476" w14:paraId="4B7EAC42" w14:textId="77777777" w:rsidTr="004F0B3A">
        <w:trPr>
          <w:trHeight w:val="313"/>
        </w:trPr>
        <w:tc>
          <w:tcPr>
            <w:tcW w:w="902" w:type="dxa"/>
            <w:vMerge/>
            <w:vAlign w:val="center"/>
          </w:tcPr>
          <w:p w14:paraId="0856AAD0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7FE3B3C4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5D746DF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56ABC86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1733837D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48201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má vytvorené partnerstvo so SOŠ a poskytuje inovačné vzdelávanie pre pedagogických zamestnancov škôl. </w:t>
            </w:r>
          </w:p>
          <w:p w14:paraId="2004B9E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má vzdelávacie programy zamerané na vzdelávanie odborníkov z praxe. NVC poskytuje vzdelávanie aj prostredníctvom medzinárodných odborníkov alebo stáži v zahraničných firmách. </w:t>
            </w:r>
          </w:p>
          <w:p w14:paraId="705B88D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zabezpečuje rôzne cezhraničné výmenné programy. </w:t>
            </w:r>
          </w:p>
          <w:p w14:paraId="029D580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Škola využíva odborníkov NVC v rámci poskytovaného OVP.</w:t>
            </w:r>
          </w:p>
          <w:p w14:paraId="6945E55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spolupracuje aj s VŠ. </w:t>
            </w:r>
          </w:p>
          <w:p w14:paraId="397B552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Spolupráca sa týka viac ako 3 škôl a je preukázateľne dohodnutá  na obdobie viac ako 3 rokov.</w:t>
            </w:r>
          </w:p>
        </w:tc>
      </w:tr>
      <w:tr w:rsidR="0056444B" w:rsidRPr="00E34476" w14:paraId="793FE8D9" w14:textId="77777777" w:rsidTr="004F0B3A">
        <w:trPr>
          <w:trHeight w:val="143"/>
        </w:trPr>
        <w:tc>
          <w:tcPr>
            <w:tcW w:w="902" w:type="dxa"/>
            <w:vMerge w:val="restart"/>
            <w:vAlign w:val="center"/>
          </w:tcPr>
          <w:p w14:paraId="55A339D1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vAlign w:val="center"/>
          </w:tcPr>
          <w:p w14:paraId="71EDD898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Partnerstvo so subjektami zabezpečujúcimi aktivity v oblasti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kariérového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poradenstva (talent centrum, základné školy, CPPP a pod.).</w:t>
            </w:r>
          </w:p>
        </w:tc>
        <w:tc>
          <w:tcPr>
            <w:tcW w:w="2872" w:type="dxa"/>
            <w:vMerge w:val="restart"/>
            <w:vAlign w:val="center"/>
          </w:tcPr>
          <w:p w14:paraId="4C9B3EF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Spolupráca na základe zmluvne zadefinovaných prvkov spolupráce s najmenej 6 subjektami spolupráce za kalendárny rok.</w:t>
            </w:r>
          </w:p>
        </w:tc>
        <w:tc>
          <w:tcPr>
            <w:tcW w:w="3587" w:type="dxa"/>
            <w:vMerge w:val="restart"/>
            <w:vAlign w:val="center"/>
          </w:tcPr>
          <w:p w14:paraId="7ACBA4C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Predpokladané aktivity zabezpečované NVC – exkurzie, ochutnávky povolaní, prednášky o povolaniach, odvetviach, sektore a pod.</w:t>
            </w:r>
          </w:p>
          <w:p w14:paraId="717C793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42616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Aktivít sa ročne zúčastnilo najmenej 200 účastníkov.</w:t>
            </w:r>
          </w:p>
          <w:p w14:paraId="409ECDE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F21C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200 účastníkov za kalendárny rok predstavuje priemer 20 účastníkov za mesiac (bez júla a augusta). </w:t>
            </w:r>
          </w:p>
        </w:tc>
        <w:tc>
          <w:tcPr>
            <w:tcW w:w="1001" w:type="dxa"/>
            <w:vAlign w:val="center"/>
          </w:tcPr>
          <w:p w14:paraId="21D025AA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14:paraId="4941B81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nemá vytvorené partnerstvo so subjektami zabezpečujúcimi aktivity v oblasti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kariérového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poradenstva (talent centrum, základné školy, CPPP a pod.).</w:t>
            </w:r>
          </w:p>
        </w:tc>
      </w:tr>
      <w:tr w:rsidR="0056444B" w:rsidRPr="00E34476" w14:paraId="0AAC1E3A" w14:textId="77777777" w:rsidTr="004F0B3A">
        <w:trPr>
          <w:trHeight w:val="139"/>
        </w:trPr>
        <w:tc>
          <w:tcPr>
            <w:tcW w:w="902" w:type="dxa"/>
            <w:vMerge/>
            <w:vAlign w:val="center"/>
          </w:tcPr>
          <w:p w14:paraId="23D4CA44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356048E1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49D89FBA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1674810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 w14:paraId="0E87D1CD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14:paraId="0B88658A" w14:textId="77777777" w:rsidR="0056444B" w:rsidRPr="00E34476" w:rsidRDefault="0056444B" w:rsidP="004F0B3A">
            <w:pPr>
              <w:ind w:right="455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má vytvorené partnerstvo so subjektami zabezpečujúcimi aktivity v oblasti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kariérového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poradenstva (talent centrum, základné školy, CPPP a pod.) ale aktivity ešte neposkytuje.</w:t>
            </w:r>
          </w:p>
        </w:tc>
      </w:tr>
      <w:tr w:rsidR="0056444B" w:rsidRPr="00E34476" w14:paraId="1395DB7D" w14:textId="77777777" w:rsidTr="004F0B3A">
        <w:trPr>
          <w:trHeight w:val="139"/>
        </w:trPr>
        <w:tc>
          <w:tcPr>
            <w:tcW w:w="902" w:type="dxa"/>
            <w:vMerge/>
            <w:vAlign w:val="center"/>
          </w:tcPr>
          <w:p w14:paraId="0810484D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73B27268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1FDC081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572EAA5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  <w:vAlign w:val="center"/>
          </w:tcPr>
          <w:p w14:paraId="344921CC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74A25B4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má vytvorené partnerstvo so subjektami zabezpečujúcimi aktivity v oblasti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kariérového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poradenstva (talent centrum, základné školy, CPPP a pod.), aktivity poskytuje a hodnotiaci štandard je splnený najmenej na 50 % (najmenej 100 účastníkov za rok, najmenej 3 subjekty spolupráce).</w:t>
            </w:r>
          </w:p>
        </w:tc>
      </w:tr>
      <w:tr w:rsidR="0056444B" w:rsidRPr="00E34476" w14:paraId="756D1CC7" w14:textId="77777777" w:rsidTr="004F0B3A">
        <w:trPr>
          <w:trHeight w:val="139"/>
        </w:trPr>
        <w:tc>
          <w:tcPr>
            <w:tcW w:w="902" w:type="dxa"/>
            <w:vMerge/>
            <w:vAlign w:val="center"/>
          </w:tcPr>
          <w:p w14:paraId="77121290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0B5F1B72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5AACA51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2C45C0B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AFFEFA6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79976BE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má vytvorené partnerstvo so subjektami zabezpečujúcimi aktivity v oblasti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kariérového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poradenstva (talent centrum, základné školy, CPPP a pod.), aktivity poskytuje a spĺňajú hodnotiaci štandard najmenej na 60 %.</w:t>
            </w:r>
          </w:p>
        </w:tc>
      </w:tr>
      <w:tr w:rsidR="0056444B" w:rsidRPr="00E34476" w14:paraId="07CA0888" w14:textId="77777777" w:rsidTr="004F0B3A">
        <w:trPr>
          <w:trHeight w:val="139"/>
        </w:trPr>
        <w:tc>
          <w:tcPr>
            <w:tcW w:w="902" w:type="dxa"/>
            <w:vMerge/>
            <w:vAlign w:val="center"/>
          </w:tcPr>
          <w:p w14:paraId="75F6029D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79CF38D8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1DC4A16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1B705AF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405E5CD8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1C9D4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má vytvorené partnerstvo so subjektami zabezpečujúcimi aktivity v oblasti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kariérového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poradenstva (talent centrum, základné školy, CPPP a pod.), aktivity poskytuje a spĺňajú hodnotiaci štandard.</w:t>
            </w:r>
          </w:p>
        </w:tc>
      </w:tr>
      <w:tr w:rsidR="0056444B" w:rsidRPr="00E34476" w14:paraId="48907DF8" w14:textId="77777777" w:rsidTr="004F0B3A">
        <w:trPr>
          <w:trHeight w:val="244"/>
        </w:trPr>
        <w:tc>
          <w:tcPr>
            <w:tcW w:w="902" w:type="dxa"/>
            <w:vMerge w:val="restart"/>
            <w:vAlign w:val="center"/>
          </w:tcPr>
          <w:p w14:paraId="6CB6002D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vAlign w:val="center"/>
          </w:tcPr>
          <w:p w14:paraId="1D31B616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Partnerstvo so zamestnávateľmi v SDV v oblasti podpory zamestnávateľov pri poskytovaní praktického vyučovania v SDV.</w:t>
            </w:r>
          </w:p>
        </w:tc>
        <w:tc>
          <w:tcPr>
            <w:tcW w:w="2872" w:type="dxa"/>
            <w:vMerge w:val="restart"/>
            <w:vAlign w:val="center"/>
          </w:tcPr>
          <w:p w14:paraId="172327A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Spolupráca so zamestnávateľmi na základe zmluvne zadefinovaných prvkov spolupráce – metodické usmerňovanie hlavných inštruktorov a iná podpora a koordinácia praktického vyučovania u zamestnávateľa.</w:t>
            </w:r>
          </w:p>
          <w:p w14:paraId="3AB544AE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718893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Spolupráca najmenej s 5 zamestnávateľmi v SDV za kalendárny rok.</w:t>
            </w:r>
          </w:p>
        </w:tc>
        <w:tc>
          <w:tcPr>
            <w:tcW w:w="3587" w:type="dxa"/>
            <w:vMerge w:val="restart"/>
            <w:vAlign w:val="center"/>
          </w:tcPr>
          <w:p w14:paraId="63552A8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Preukazovanie spolupráce – dokumentácia,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foto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, dotazník spätnej väzby a pod..</w:t>
            </w:r>
          </w:p>
        </w:tc>
        <w:tc>
          <w:tcPr>
            <w:tcW w:w="1001" w:type="dxa"/>
            <w:vAlign w:val="center"/>
          </w:tcPr>
          <w:p w14:paraId="554D0FD9" w14:textId="77777777" w:rsidR="0056444B" w:rsidRPr="00E34476" w:rsidRDefault="0056444B" w:rsidP="004F0B3A">
            <w:pPr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4536" w:type="dxa"/>
            <w:vAlign w:val="center"/>
          </w:tcPr>
          <w:p w14:paraId="0865E861" w14:textId="77777777" w:rsidR="0056444B" w:rsidRPr="00E34476" w:rsidRDefault="0056444B" w:rsidP="004F0B3A">
            <w:pPr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NVC nemá uzatvorené partnerstvo so zamestnávateľmi s cieľom podpory zamestnávateľov pri poskytovaní praktického vyučovania v SDV.</w:t>
            </w:r>
          </w:p>
        </w:tc>
      </w:tr>
      <w:tr w:rsidR="0056444B" w:rsidRPr="00E34476" w14:paraId="1C03283B" w14:textId="77777777" w:rsidTr="004F0B3A">
        <w:trPr>
          <w:trHeight w:val="242"/>
        </w:trPr>
        <w:tc>
          <w:tcPr>
            <w:tcW w:w="902" w:type="dxa"/>
            <w:vMerge/>
            <w:vAlign w:val="center"/>
          </w:tcPr>
          <w:p w14:paraId="6A3D7DCA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540FA166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76AF98E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498A91E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FFFF00"/>
            <w:vAlign w:val="center"/>
          </w:tcPr>
          <w:p w14:paraId="640BB0EA" w14:textId="77777777" w:rsidR="0056444B" w:rsidRPr="00E34476" w:rsidRDefault="0056444B" w:rsidP="004F0B3A">
            <w:pPr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4536" w:type="dxa"/>
            <w:shd w:val="clear" w:color="auto" w:fill="FFFF00"/>
            <w:vAlign w:val="center"/>
          </w:tcPr>
          <w:p w14:paraId="2F8F0016" w14:textId="77777777" w:rsidR="0056444B" w:rsidRPr="00E34476" w:rsidRDefault="0056444B" w:rsidP="004F0B3A">
            <w:pPr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NVC má uzatvorené partnerstvo najmenej s 2 spolupracujúcim zamestnávateľmi. NVC zabezpečuje zamestnávateľom iba administratívnu a obdobnú podporu.</w:t>
            </w:r>
          </w:p>
        </w:tc>
      </w:tr>
      <w:tr w:rsidR="0056444B" w:rsidRPr="00E34476" w14:paraId="769B0A75" w14:textId="77777777" w:rsidTr="004F0B3A">
        <w:trPr>
          <w:trHeight w:val="242"/>
        </w:trPr>
        <w:tc>
          <w:tcPr>
            <w:tcW w:w="902" w:type="dxa"/>
            <w:vMerge/>
            <w:vAlign w:val="center"/>
          </w:tcPr>
          <w:p w14:paraId="402B29EA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52F3BE9D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6BE4673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3459D06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749CC446" w14:textId="77777777" w:rsidR="0056444B" w:rsidRPr="00E34476" w:rsidRDefault="0056444B" w:rsidP="004F0B3A">
            <w:pPr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D22AEDC" w14:textId="77777777" w:rsidR="0056444B" w:rsidRPr="00E34476" w:rsidRDefault="0056444B" w:rsidP="004F0B3A">
            <w:pPr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NVC má uzatvorené partnerstvo najmenej s 3 spolupracujúcimi zamestnávateľmi. NVC zabezpečuje iba administratívnu a obdobnú podporu.</w:t>
            </w:r>
          </w:p>
        </w:tc>
      </w:tr>
      <w:tr w:rsidR="0056444B" w:rsidRPr="00E34476" w14:paraId="278DD473" w14:textId="77777777" w:rsidTr="004F0B3A">
        <w:trPr>
          <w:trHeight w:val="242"/>
        </w:trPr>
        <w:tc>
          <w:tcPr>
            <w:tcW w:w="902" w:type="dxa"/>
            <w:vMerge/>
            <w:vAlign w:val="center"/>
          </w:tcPr>
          <w:p w14:paraId="34ED10DB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05AC8032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45BEC17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421036F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03196193" w14:textId="77777777" w:rsidR="0056444B" w:rsidRPr="00E34476" w:rsidRDefault="0056444B" w:rsidP="004F0B3A">
            <w:pPr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C0EE95" w14:textId="77777777" w:rsidR="0056444B" w:rsidRPr="00E34476" w:rsidRDefault="0056444B" w:rsidP="004F0B3A">
            <w:pPr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 xml:space="preserve">NVC má uzatvorené partnerstvo o poskytovaní PV najmenej so 4 zamestnávateľmi za kalendárny rok. NVC koordinuje OVP a zabezpečuje administratívnu a obdobnú podporu. </w:t>
            </w:r>
          </w:p>
        </w:tc>
      </w:tr>
      <w:tr w:rsidR="0056444B" w:rsidRPr="00E34476" w14:paraId="3B54F6E8" w14:textId="77777777" w:rsidTr="004F0B3A">
        <w:trPr>
          <w:trHeight w:val="242"/>
        </w:trPr>
        <w:tc>
          <w:tcPr>
            <w:tcW w:w="902" w:type="dxa"/>
            <w:vMerge/>
            <w:vAlign w:val="center"/>
          </w:tcPr>
          <w:p w14:paraId="071C162C" w14:textId="77777777" w:rsidR="0056444B" w:rsidRPr="00E34476" w:rsidRDefault="0056444B" w:rsidP="0056444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16" w:hanging="28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2" w:type="dxa"/>
            <w:vMerge/>
            <w:vAlign w:val="center"/>
          </w:tcPr>
          <w:p w14:paraId="5B8B5A05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72" w:type="dxa"/>
            <w:vMerge/>
            <w:vAlign w:val="center"/>
          </w:tcPr>
          <w:p w14:paraId="0C0948F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7" w:type="dxa"/>
            <w:vMerge/>
            <w:vAlign w:val="center"/>
          </w:tcPr>
          <w:p w14:paraId="5B40C25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5E6D17B7" w14:textId="77777777" w:rsidR="0056444B" w:rsidRPr="00E34476" w:rsidRDefault="0056444B" w:rsidP="004F0B3A">
            <w:pPr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33AE96" w14:textId="77777777" w:rsidR="0056444B" w:rsidRPr="00E34476" w:rsidRDefault="0056444B" w:rsidP="004F0B3A">
            <w:pPr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NVC má uzatvorené partnerstvo o poskytovaní PV s najmenej 5 zamestnávateľmi za kalendárny rok. Pre zmluvných zamestnávateľov zabezpečuje rôzne</w:t>
            </w:r>
          </w:p>
          <w:p w14:paraId="4BBD6192" w14:textId="77777777" w:rsidR="0056444B" w:rsidRPr="00E34476" w:rsidRDefault="0056444B" w:rsidP="004F0B3A">
            <w:pPr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eastAsia="ArialMT" w:hAnsiTheme="minorHAnsi" w:cstheme="minorHAnsi"/>
                <w:sz w:val="20"/>
                <w:szCs w:val="20"/>
              </w:rPr>
              <w:t>služby. NVC poskytuje komplexné metodické poradenstvo a obdobnú podporu.</w:t>
            </w:r>
          </w:p>
        </w:tc>
      </w:tr>
      <w:tr w:rsidR="0056444B" w:rsidRPr="00E34476" w14:paraId="6EE34497" w14:textId="77777777" w:rsidTr="004F0B3A">
        <w:trPr>
          <w:trHeight w:val="242"/>
        </w:trPr>
        <w:tc>
          <w:tcPr>
            <w:tcW w:w="9773" w:type="dxa"/>
            <w:gridSpan w:val="4"/>
            <w:vAlign w:val="center"/>
          </w:tcPr>
          <w:p w14:paraId="4590E617" w14:textId="77777777" w:rsidR="0056444B" w:rsidRPr="00E34476" w:rsidRDefault="0056444B" w:rsidP="004F0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1001" w:type="dxa"/>
            <w:vAlign w:val="center"/>
          </w:tcPr>
          <w:p w14:paraId="62D7E8F4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36" w:type="dxa"/>
            <w:vAlign w:val="center"/>
          </w:tcPr>
          <w:p w14:paraId="1010C85D" w14:textId="77777777" w:rsidR="0056444B" w:rsidRPr="00E34476" w:rsidRDefault="0056444B" w:rsidP="004F0B3A">
            <w:pPr>
              <w:ind w:right="-1352"/>
              <w:rPr>
                <w:rFonts w:asciiTheme="minorHAnsi" w:eastAsia="ArialMT" w:hAnsiTheme="minorHAnsi" w:cstheme="minorHAnsi"/>
                <w:sz w:val="20"/>
                <w:szCs w:val="20"/>
              </w:rPr>
            </w:pPr>
          </w:p>
        </w:tc>
      </w:tr>
    </w:tbl>
    <w:p w14:paraId="1FCB4686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45D4B49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A1E09BC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D683F73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356E38F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64DB69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3422BBB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C945D94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2D6DCE5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468A8E1" w14:textId="4E239DC6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7688D32" w14:textId="77777777" w:rsidR="0056444B" w:rsidRPr="00E34476" w:rsidRDefault="0056444B" w:rsidP="0056444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78CF2C2" w14:textId="77777777" w:rsidR="0056444B" w:rsidRPr="00E34476" w:rsidRDefault="0056444B" w:rsidP="0056444B">
      <w:pPr>
        <w:pStyle w:val="Odsekzoznamu"/>
        <w:numPr>
          <w:ilvl w:val="0"/>
          <w:numId w:val="3"/>
        </w:numPr>
        <w:ind w:left="-851" w:right="-740" w:hanging="425"/>
        <w:rPr>
          <w:rFonts w:cstheme="minorHAnsi"/>
          <w:b/>
          <w:bCs/>
          <w:sz w:val="20"/>
          <w:szCs w:val="20"/>
        </w:rPr>
      </w:pPr>
      <w:r w:rsidRPr="00E34476">
        <w:rPr>
          <w:rFonts w:cstheme="minorHAnsi"/>
          <w:b/>
          <w:bCs/>
          <w:sz w:val="20"/>
          <w:szCs w:val="20"/>
        </w:rPr>
        <w:lastRenderedPageBreak/>
        <w:t xml:space="preserve">Vzdelávacia a iná činnosť a výsledky aktivít </w:t>
      </w:r>
    </w:p>
    <w:tbl>
      <w:tblPr>
        <w:tblStyle w:val="Mriekatabuky"/>
        <w:tblW w:w="15380" w:type="dxa"/>
        <w:tblInd w:w="-1139" w:type="dxa"/>
        <w:tblLook w:val="04A0" w:firstRow="1" w:lastRow="0" w:firstColumn="1" w:lastColumn="0" w:noHBand="0" w:noVBand="1"/>
      </w:tblPr>
      <w:tblGrid>
        <w:gridCol w:w="586"/>
        <w:gridCol w:w="2500"/>
        <w:gridCol w:w="2793"/>
        <w:gridCol w:w="3343"/>
        <w:gridCol w:w="1077"/>
        <w:gridCol w:w="5081"/>
      </w:tblGrid>
      <w:tr w:rsidR="0056444B" w:rsidRPr="00E34476" w14:paraId="58B5A286" w14:textId="77777777" w:rsidTr="004F0B3A">
        <w:tc>
          <w:tcPr>
            <w:tcW w:w="586" w:type="dxa"/>
            <w:shd w:val="clear" w:color="auto" w:fill="BFBFBF" w:themeFill="background1" w:themeFillShade="BF"/>
            <w:vAlign w:val="center"/>
          </w:tcPr>
          <w:p w14:paraId="6549C528" w14:textId="77777777" w:rsidR="0056444B" w:rsidRPr="00E34476" w:rsidRDefault="0056444B" w:rsidP="004F0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Por. číslo</w:t>
            </w:r>
          </w:p>
        </w:tc>
        <w:tc>
          <w:tcPr>
            <w:tcW w:w="2500" w:type="dxa"/>
            <w:shd w:val="clear" w:color="auto" w:fill="BFBFBF" w:themeFill="background1" w:themeFillShade="BF"/>
            <w:vAlign w:val="center"/>
          </w:tcPr>
          <w:p w14:paraId="5A1D70B6" w14:textId="77777777" w:rsidR="0056444B" w:rsidRPr="00E34476" w:rsidRDefault="0056444B" w:rsidP="004F0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Kritérium</w:t>
            </w:r>
          </w:p>
        </w:tc>
        <w:tc>
          <w:tcPr>
            <w:tcW w:w="2793" w:type="dxa"/>
            <w:shd w:val="clear" w:color="auto" w:fill="BFBFBF" w:themeFill="background1" w:themeFillShade="BF"/>
            <w:vAlign w:val="center"/>
          </w:tcPr>
          <w:p w14:paraId="3679E683" w14:textId="77777777" w:rsidR="0056444B" w:rsidRPr="00E34476" w:rsidRDefault="0056444B" w:rsidP="004F0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Hodnotiaci štandard</w:t>
            </w:r>
          </w:p>
        </w:tc>
        <w:tc>
          <w:tcPr>
            <w:tcW w:w="3343" w:type="dxa"/>
            <w:shd w:val="clear" w:color="auto" w:fill="BFBFBF" w:themeFill="background1" w:themeFillShade="BF"/>
            <w:vAlign w:val="center"/>
          </w:tcPr>
          <w:p w14:paraId="7D8CF4BF" w14:textId="77777777" w:rsidR="0056444B" w:rsidRPr="00E34476" w:rsidRDefault="0056444B" w:rsidP="004F0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Poznámka</w:t>
            </w:r>
          </w:p>
        </w:tc>
        <w:tc>
          <w:tcPr>
            <w:tcW w:w="1077" w:type="dxa"/>
            <w:shd w:val="clear" w:color="auto" w:fill="BFBFBF" w:themeFill="background1" w:themeFillShade="BF"/>
            <w:vAlign w:val="center"/>
          </w:tcPr>
          <w:p w14:paraId="23963654" w14:textId="77777777" w:rsidR="0056444B" w:rsidRPr="00E34476" w:rsidRDefault="0056444B" w:rsidP="004F0B3A">
            <w:pPr>
              <w:ind w:right="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Počet bodov za kritérium</w:t>
            </w:r>
          </w:p>
        </w:tc>
        <w:tc>
          <w:tcPr>
            <w:tcW w:w="5081" w:type="dxa"/>
            <w:shd w:val="clear" w:color="auto" w:fill="BFBFBF" w:themeFill="background1" w:themeFillShade="BF"/>
            <w:vAlign w:val="center"/>
          </w:tcPr>
          <w:p w14:paraId="54AF0091" w14:textId="77777777" w:rsidR="0056444B" w:rsidRPr="00E34476" w:rsidRDefault="0056444B" w:rsidP="004F0B3A">
            <w:pPr>
              <w:ind w:right="5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Hodnotenie kritériá</w:t>
            </w:r>
          </w:p>
        </w:tc>
      </w:tr>
      <w:tr w:rsidR="0056444B" w:rsidRPr="00E34476" w14:paraId="7837B04E" w14:textId="77777777" w:rsidTr="004F0B3A">
        <w:trPr>
          <w:trHeight w:val="810"/>
        </w:trPr>
        <w:tc>
          <w:tcPr>
            <w:tcW w:w="586" w:type="dxa"/>
            <w:vMerge w:val="restart"/>
            <w:vAlign w:val="center"/>
          </w:tcPr>
          <w:p w14:paraId="4B28E571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7AF6F611" w14:textId="77777777" w:rsidR="0056444B" w:rsidRPr="00E34476" w:rsidRDefault="0056444B" w:rsidP="004F0B3A">
            <w:pPr>
              <w:pStyle w:val="Bezriadkovania"/>
              <w:ind w:left="-42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 xml:space="preserve">Poskytuje praktické vyučovanie v systéme duálneho vzdelávania žiakom, ktorí majú uzatvorenú učebnú zmluvu s iným zamestnávateľom. </w:t>
            </w:r>
          </w:p>
        </w:tc>
        <w:tc>
          <w:tcPr>
            <w:tcW w:w="2793" w:type="dxa"/>
            <w:vMerge w:val="restart"/>
            <w:vAlign w:val="center"/>
          </w:tcPr>
          <w:p w14:paraId="6F4AD818" w14:textId="77777777" w:rsidR="0056444B" w:rsidRPr="00E34476" w:rsidRDefault="0056444B" w:rsidP="004F0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Praktické vyučovanie pre najmenej 200 žiakov denného štúdia iného zamestnávateľa za školský rok. </w:t>
            </w:r>
          </w:p>
        </w:tc>
        <w:tc>
          <w:tcPr>
            <w:tcW w:w="3343" w:type="dxa"/>
            <w:vMerge w:val="restart"/>
            <w:vAlign w:val="center"/>
          </w:tcPr>
          <w:p w14:paraId="2550FC8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Očakávaným štandardom využívania NVC je, že  žiak v SDV bude vykonávať každý školský rok praktické vyučovanie v NVC v rozsahu cca 20 vyučovacích dní PV pri rozsahu 50 % PV v učebnom pláne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ŠkVP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s cieľom vyrovnania získaných zručností v súlade s celým výkonovým štandardom odboru vzdelávania.</w:t>
            </w:r>
          </w:p>
          <w:p w14:paraId="2EF522A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0D3F6FC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Štandard NVC „poskytovanie praktického vyučovania pre 200 žiakov s učebnou zmluvou s iným zamestnávateľom za školský rok“, zodpovedá (pri rozsahu PV podľa tejto poznámky) 20 žiakov iného zamestnávateľa na PV v NVC za jeden vyučovací deň praktického vyučovania. </w:t>
            </w:r>
          </w:p>
        </w:tc>
        <w:tc>
          <w:tcPr>
            <w:tcW w:w="1077" w:type="dxa"/>
            <w:vAlign w:val="center"/>
          </w:tcPr>
          <w:p w14:paraId="55B022F2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81" w:type="dxa"/>
            <w:vAlign w:val="center"/>
          </w:tcPr>
          <w:p w14:paraId="61398F3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Poskytuje praktické vyučovanie pre menej ako 50 žiakov iných zamestnávateľov za školský rok.</w:t>
            </w:r>
          </w:p>
        </w:tc>
      </w:tr>
      <w:tr w:rsidR="0056444B" w:rsidRPr="00E34476" w14:paraId="6BB46956" w14:textId="77777777" w:rsidTr="004F0B3A">
        <w:trPr>
          <w:trHeight w:val="979"/>
        </w:trPr>
        <w:tc>
          <w:tcPr>
            <w:tcW w:w="586" w:type="dxa"/>
            <w:vMerge/>
            <w:vAlign w:val="center"/>
          </w:tcPr>
          <w:p w14:paraId="0B738831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6A3C69FC" w14:textId="77777777" w:rsidR="0056444B" w:rsidRPr="00E34476" w:rsidRDefault="0056444B" w:rsidP="004F0B3A">
            <w:pPr>
              <w:pStyle w:val="Bezriadkovania"/>
              <w:ind w:left="-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2ABACC8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5B44302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00"/>
            <w:vAlign w:val="center"/>
          </w:tcPr>
          <w:p w14:paraId="61F91AD8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081" w:type="dxa"/>
            <w:shd w:val="clear" w:color="auto" w:fill="FFFF00"/>
            <w:vAlign w:val="center"/>
          </w:tcPr>
          <w:p w14:paraId="2C87AAE9" w14:textId="77777777" w:rsidR="0056444B" w:rsidRPr="00E34476" w:rsidRDefault="0056444B" w:rsidP="004F0B3A">
            <w:pPr>
              <w:ind w:right="1061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Poskytuje praktické vyučovanie pre viac ako 50 žiakov a menej ako 100 žiakov iných zamestnávateľov za školský rok.</w:t>
            </w:r>
          </w:p>
        </w:tc>
      </w:tr>
      <w:tr w:rsidR="0056444B" w:rsidRPr="00E34476" w14:paraId="2D5827A6" w14:textId="77777777" w:rsidTr="004F0B3A">
        <w:trPr>
          <w:trHeight w:val="811"/>
        </w:trPr>
        <w:tc>
          <w:tcPr>
            <w:tcW w:w="586" w:type="dxa"/>
            <w:vMerge/>
            <w:vAlign w:val="center"/>
          </w:tcPr>
          <w:p w14:paraId="0339E708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5F60C8D7" w14:textId="77777777" w:rsidR="0056444B" w:rsidRPr="00E34476" w:rsidRDefault="0056444B" w:rsidP="004F0B3A">
            <w:pPr>
              <w:pStyle w:val="Bezriadkovania"/>
              <w:ind w:left="-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1F05BD0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3A313C4A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DE2A3B3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AAEC21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Poskytuje praktické vyučovanie pre viac ako 100 žiakov a menej ako 150 žiakov iných zamestnávateľov za školský rok.</w:t>
            </w:r>
          </w:p>
        </w:tc>
      </w:tr>
      <w:tr w:rsidR="0056444B" w:rsidRPr="00E34476" w14:paraId="24D08C39" w14:textId="77777777" w:rsidTr="004F0B3A">
        <w:trPr>
          <w:trHeight w:val="943"/>
        </w:trPr>
        <w:tc>
          <w:tcPr>
            <w:tcW w:w="586" w:type="dxa"/>
            <w:vMerge/>
            <w:vAlign w:val="center"/>
          </w:tcPr>
          <w:p w14:paraId="29F5CF7E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5625D37D" w14:textId="77777777" w:rsidR="0056444B" w:rsidRPr="00E34476" w:rsidRDefault="0056444B" w:rsidP="004F0B3A">
            <w:pPr>
              <w:pStyle w:val="Bezriadkovania"/>
              <w:ind w:left="-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042F3D8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235812BA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4D32345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32FCBC4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Poskytuje praktické vyučovanie pre viac ako 150 žiakov a menej ako 200 žiakov iných zamestnávateľov za školský rok.</w:t>
            </w:r>
          </w:p>
        </w:tc>
      </w:tr>
      <w:tr w:rsidR="0056444B" w:rsidRPr="00E34476" w14:paraId="47C7EDEF" w14:textId="77777777" w:rsidTr="004F0B3A">
        <w:trPr>
          <w:trHeight w:val="279"/>
        </w:trPr>
        <w:tc>
          <w:tcPr>
            <w:tcW w:w="586" w:type="dxa"/>
            <w:vMerge/>
            <w:vAlign w:val="center"/>
          </w:tcPr>
          <w:p w14:paraId="6FA02DA9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6F04AD1E" w14:textId="77777777" w:rsidR="0056444B" w:rsidRPr="00E34476" w:rsidRDefault="0056444B" w:rsidP="004F0B3A">
            <w:pPr>
              <w:pStyle w:val="Bezriadkovania"/>
              <w:ind w:left="-42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21725A8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3B06AB0E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9DD07AA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7F7BB47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Poskytuje praktické vyučovanie pre viac ako 200 žiakov iných zamestnávateľov za školský rok.</w:t>
            </w:r>
          </w:p>
        </w:tc>
      </w:tr>
      <w:tr w:rsidR="0056444B" w:rsidRPr="00E34476" w14:paraId="457B94E4" w14:textId="77777777" w:rsidTr="004F0B3A">
        <w:trPr>
          <w:trHeight w:val="244"/>
        </w:trPr>
        <w:tc>
          <w:tcPr>
            <w:tcW w:w="586" w:type="dxa"/>
            <w:vMerge w:val="restart"/>
            <w:vAlign w:val="center"/>
          </w:tcPr>
          <w:p w14:paraId="5BFFD173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00130AA3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Uskutočňuje inovačné vzdelávanie pedagogických zamestnancov v súlade so zákonom o pedagogických zamestnancoch v rozsahu odborných vyučovacích predmetov (inovačné vzdelávanie vo forme odbornej stáže, vzdelávacích kurzov a pod.).</w:t>
            </w:r>
          </w:p>
        </w:tc>
        <w:tc>
          <w:tcPr>
            <w:tcW w:w="2793" w:type="dxa"/>
            <w:vMerge w:val="restart"/>
            <w:vAlign w:val="center"/>
          </w:tcPr>
          <w:p w14:paraId="758BCB3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Oprávnenie na poskytovanie inovačného vzdelávania vydané ministerstvom školstva.</w:t>
            </w:r>
          </w:p>
          <w:p w14:paraId="0F00833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Najmenej 30 účastníkov za kalendárny rok.</w:t>
            </w:r>
          </w:p>
        </w:tc>
        <w:tc>
          <w:tcPr>
            <w:tcW w:w="3343" w:type="dxa"/>
            <w:vMerge w:val="restart"/>
            <w:vAlign w:val="center"/>
          </w:tcPr>
          <w:p w14:paraId="21B74C2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Zákonný rozsah inovačného vzdelávania je najmenej 50 h.</w:t>
            </w:r>
          </w:p>
          <w:p w14:paraId="0FF1F06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F9F7C2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Predpokladá sa vzdelávacia aktivita v rozsahu najviac 2 týždne.</w:t>
            </w:r>
          </w:p>
          <w:p w14:paraId="346A9F8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976390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Predpokladá sa priemer 3 účastníkov na jeden vyučovací mesiac.</w:t>
            </w:r>
          </w:p>
        </w:tc>
        <w:tc>
          <w:tcPr>
            <w:tcW w:w="1077" w:type="dxa"/>
            <w:vAlign w:val="center"/>
          </w:tcPr>
          <w:p w14:paraId="4776DCF2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81" w:type="dxa"/>
            <w:vAlign w:val="center"/>
          </w:tcPr>
          <w:p w14:paraId="3606FF4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neposkytuje inovačné vzdelávanie pre pedagogických zamestnancov.</w:t>
            </w:r>
          </w:p>
        </w:tc>
      </w:tr>
      <w:tr w:rsidR="0056444B" w:rsidRPr="00E34476" w14:paraId="48FE131B" w14:textId="77777777" w:rsidTr="004F0B3A">
        <w:trPr>
          <w:trHeight w:val="242"/>
        </w:trPr>
        <w:tc>
          <w:tcPr>
            <w:tcW w:w="586" w:type="dxa"/>
            <w:vMerge/>
            <w:vAlign w:val="center"/>
          </w:tcPr>
          <w:p w14:paraId="310BC9B8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2C4657FC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21AA249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174B21C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85BB678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081" w:type="dxa"/>
            <w:vAlign w:val="center"/>
          </w:tcPr>
          <w:p w14:paraId="3173F80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oprávnenie na inovačné vzdelávanie pre pedagogických zamestnancov ale vzdelávanie neposkytuje.</w:t>
            </w:r>
          </w:p>
        </w:tc>
      </w:tr>
      <w:tr w:rsidR="0056444B" w:rsidRPr="00E34476" w14:paraId="3E1646FA" w14:textId="77777777" w:rsidTr="004F0B3A">
        <w:trPr>
          <w:trHeight w:val="242"/>
        </w:trPr>
        <w:tc>
          <w:tcPr>
            <w:tcW w:w="586" w:type="dxa"/>
            <w:vMerge/>
            <w:vAlign w:val="center"/>
          </w:tcPr>
          <w:p w14:paraId="562FDD5B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054BD124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48A306D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3149C80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00"/>
            <w:vAlign w:val="center"/>
          </w:tcPr>
          <w:p w14:paraId="768CC781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81" w:type="dxa"/>
            <w:shd w:val="clear" w:color="auto" w:fill="FFFF00"/>
            <w:vAlign w:val="center"/>
          </w:tcPr>
          <w:p w14:paraId="11CE9AD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oprávnenie na inovačné vzdelávanie pre pedagogických zamestnancov, zverejnilo ponuku inovačného vzdelávania ale vzdelávanie neposkytuje.</w:t>
            </w:r>
          </w:p>
        </w:tc>
      </w:tr>
      <w:tr w:rsidR="0056444B" w:rsidRPr="00E34476" w14:paraId="5541556E" w14:textId="77777777" w:rsidTr="004F0B3A">
        <w:trPr>
          <w:trHeight w:val="242"/>
        </w:trPr>
        <w:tc>
          <w:tcPr>
            <w:tcW w:w="586" w:type="dxa"/>
            <w:vMerge/>
            <w:vAlign w:val="center"/>
          </w:tcPr>
          <w:p w14:paraId="77ADB2BE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5DAF1FA1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225D400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6E6E0C8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EE39BE5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CE0559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oprávnenie na inovačné vzdelávanie pre pedagogických zamestnancov, zverejnilo ponuku inovačného vzdelávania, poskytuje inovačné vzdelávanie ale nie je splnený hodnotiaci štandard.</w:t>
            </w:r>
          </w:p>
        </w:tc>
      </w:tr>
      <w:tr w:rsidR="0056444B" w:rsidRPr="00E34476" w14:paraId="529A01B6" w14:textId="77777777" w:rsidTr="004F0B3A">
        <w:trPr>
          <w:trHeight w:val="242"/>
        </w:trPr>
        <w:tc>
          <w:tcPr>
            <w:tcW w:w="586" w:type="dxa"/>
            <w:vMerge/>
            <w:vAlign w:val="center"/>
          </w:tcPr>
          <w:p w14:paraId="46773E4B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679D9B36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245849E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6A17C9E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DA8A7F6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3A405F6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oprávnenie na inovačné vzdelávanie pre pedagogických zamestnancov, zverejnilo ponuku inovačného vzdelávania, poskytuje inovačné vzdelávanie v súlade s hodnotiacim štandardom.</w:t>
            </w:r>
          </w:p>
        </w:tc>
      </w:tr>
      <w:tr w:rsidR="0056444B" w:rsidRPr="00E34476" w14:paraId="6EA6733D" w14:textId="77777777" w:rsidTr="004F0B3A">
        <w:trPr>
          <w:trHeight w:val="209"/>
        </w:trPr>
        <w:tc>
          <w:tcPr>
            <w:tcW w:w="586" w:type="dxa"/>
            <w:vMerge w:val="restart"/>
            <w:vAlign w:val="center"/>
          </w:tcPr>
          <w:p w14:paraId="79407B88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39CFF722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Poskytuje akreditované vzdelávacie programy celoživotného vzdelávania.</w:t>
            </w:r>
          </w:p>
        </w:tc>
        <w:tc>
          <w:tcPr>
            <w:tcW w:w="2793" w:type="dxa"/>
            <w:vMerge w:val="restart"/>
            <w:vAlign w:val="center"/>
          </w:tcPr>
          <w:p w14:paraId="7A48AE6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Najmenej 50 účastníkov za kalendárny rok.</w:t>
            </w:r>
          </w:p>
        </w:tc>
        <w:tc>
          <w:tcPr>
            <w:tcW w:w="3343" w:type="dxa"/>
            <w:vMerge w:val="restart"/>
            <w:vAlign w:val="center"/>
          </w:tcPr>
          <w:p w14:paraId="5157006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Vzdelávacie programy pre zamestnancov, SZČO, nezamestnaných a pod. v predpokladanom rozsahu najviac 1 mesiac.</w:t>
            </w:r>
          </w:p>
          <w:p w14:paraId="11B753C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114A88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Priemer 5 účastníkov na jeden vyučovací mesiac.</w:t>
            </w:r>
          </w:p>
        </w:tc>
        <w:tc>
          <w:tcPr>
            <w:tcW w:w="1077" w:type="dxa"/>
            <w:vAlign w:val="center"/>
          </w:tcPr>
          <w:p w14:paraId="5092B463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81" w:type="dxa"/>
            <w:vAlign w:val="center"/>
          </w:tcPr>
          <w:p w14:paraId="271F164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nemá akreditované vzdelávacie programy celoživotného vzdelávania.</w:t>
            </w:r>
          </w:p>
        </w:tc>
      </w:tr>
      <w:tr w:rsidR="0056444B" w:rsidRPr="00E34476" w14:paraId="3F345C5F" w14:textId="77777777" w:rsidTr="004F0B3A">
        <w:trPr>
          <w:trHeight w:val="208"/>
        </w:trPr>
        <w:tc>
          <w:tcPr>
            <w:tcW w:w="586" w:type="dxa"/>
            <w:vMerge/>
            <w:vAlign w:val="center"/>
          </w:tcPr>
          <w:p w14:paraId="029FD603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48E1E577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1D2CDEC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5D6C1D6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7B1352A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081" w:type="dxa"/>
            <w:vAlign w:val="center"/>
          </w:tcPr>
          <w:p w14:paraId="045154F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akreditovaný najmenej 1 vzdelávací program celoživotného vzdelávania ale vzdelávanie v ňom neposkytuje.</w:t>
            </w:r>
          </w:p>
        </w:tc>
      </w:tr>
      <w:tr w:rsidR="0056444B" w:rsidRPr="00E34476" w14:paraId="0DF88273" w14:textId="77777777" w:rsidTr="004F0B3A">
        <w:trPr>
          <w:trHeight w:val="208"/>
        </w:trPr>
        <w:tc>
          <w:tcPr>
            <w:tcW w:w="586" w:type="dxa"/>
            <w:vMerge/>
            <w:vAlign w:val="center"/>
          </w:tcPr>
          <w:p w14:paraId="56C8728A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62DF03A7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209C109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1E35FC9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18276D52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3B99951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akreditovaný najmenej 1 vzdelávací program celoživotného vzdelávania ale vzdelávanie v ňom neposkytuje. Vzdelávanie poskytuje v neakreditovanom vzdelávacom programe.</w:t>
            </w:r>
          </w:p>
        </w:tc>
      </w:tr>
      <w:tr w:rsidR="0056444B" w:rsidRPr="00E34476" w14:paraId="50CE1C35" w14:textId="77777777" w:rsidTr="004F0B3A">
        <w:trPr>
          <w:trHeight w:val="208"/>
        </w:trPr>
        <w:tc>
          <w:tcPr>
            <w:tcW w:w="586" w:type="dxa"/>
            <w:vMerge/>
            <w:vAlign w:val="center"/>
          </w:tcPr>
          <w:p w14:paraId="11B11E04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52D947AF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749FE24E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34B9D37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00"/>
            <w:vAlign w:val="center"/>
          </w:tcPr>
          <w:p w14:paraId="57F1F290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081" w:type="dxa"/>
            <w:shd w:val="clear" w:color="auto" w:fill="FFFF00"/>
            <w:vAlign w:val="center"/>
          </w:tcPr>
          <w:p w14:paraId="77F36DF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akreditovaný najmenej 1 vzdelávací program celoživotného vzdelávania, vzdelávanie v ňom poskytuje ale počet účastníkov vzdelávania nezodpovedá hodnotiacemu štandardu.</w:t>
            </w:r>
          </w:p>
        </w:tc>
      </w:tr>
      <w:tr w:rsidR="0056444B" w:rsidRPr="00E34476" w14:paraId="3BB31446" w14:textId="77777777" w:rsidTr="004F0B3A">
        <w:trPr>
          <w:trHeight w:val="208"/>
        </w:trPr>
        <w:tc>
          <w:tcPr>
            <w:tcW w:w="586" w:type="dxa"/>
            <w:vMerge/>
            <w:vAlign w:val="center"/>
          </w:tcPr>
          <w:p w14:paraId="0E1CECC2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06B3773E" w14:textId="77777777" w:rsidR="0056444B" w:rsidRPr="00E34476" w:rsidRDefault="0056444B" w:rsidP="004F0B3A">
            <w:pPr>
              <w:pStyle w:val="Bezriadkovania"/>
              <w:ind w:left="-4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2DF231C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3F6D931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9B0985E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36D2452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akreditovaný najmenej 1 vzdelávací program celoživotného vzdelávania, vzdelávanie v ňom poskytuje a rozsah vzdelávania zodpovedá hodnotiacemu štandardu.</w:t>
            </w:r>
          </w:p>
        </w:tc>
      </w:tr>
      <w:tr w:rsidR="0056444B" w:rsidRPr="00E34476" w14:paraId="0DB66AE0" w14:textId="77777777" w:rsidTr="004F0B3A">
        <w:trPr>
          <w:trHeight w:val="785"/>
        </w:trPr>
        <w:tc>
          <w:tcPr>
            <w:tcW w:w="586" w:type="dxa"/>
            <w:vMerge w:val="restart"/>
            <w:vAlign w:val="center"/>
          </w:tcPr>
          <w:p w14:paraId="601DA2FC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6C028A6A" w14:textId="25F5DAEE" w:rsidR="0056444B" w:rsidRPr="00E34476" w:rsidRDefault="0056444B" w:rsidP="004F0B3A">
            <w:pPr>
              <w:pStyle w:val="Bezriadkovania"/>
              <w:ind w:left="-47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Účasť sa na zákonnej alebo nadväzujúcej príprave hlavných inštruktorov alebo inštruktorov na základe partnerstva so S</w:t>
            </w:r>
            <w:r w:rsidR="00FE7065" w:rsidRPr="00E34476">
              <w:rPr>
                <w:rFonts w:cstheme="minorHAnsi"/>
                <w:sz w:val="20"/>
                <w:szCs w:val="20"/>
              </w:rPr>
              <w:t>PPK</w:t>
            </w:r>
            <w:r w:rsidRPr="00E344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793" w:type="dxa"/>
            <w:vMerge w:val="restart"/>
            <w:vAlign w:val="center"/>
          </w:tcPr>
          <w:p w14:paraId="388501CA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Najmenej 100 účastníkov vzdelávania (hlavných inštruktorov alebo inštruktorov), za kalendárny rok,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t.j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. v priemere 10 účastníkov za vyučovací mesiac.</w:t>
            </w:r>
          </w:p>
        </w:tc>
        <w:tc>
          <w:tcPr>
            <w:tcW w:w="3343" w:type="dxa"/>
            <w:vMerge w:val="restart"/>
            <w:vAlign w:val="center"/>
          </w:tcPr>
          <w:p w14:paraId="61A270D5" w14:textId="6C23EB6C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Zákonná príprava sa uskutočňuje v spolupráci s príslušnou S</w:t>
            </w:r>
            <w:r w:rsidR="00FE706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podľa zákona o OVP a podľa vnútorného predpisu S</w:t>
            </w:r>
            <w:r w:rsidR="00FE7065" w:rsidRPr="00E34476">
              <w:rPr>
                <w:rFonts w:asciiTheme="minorHAnsi" w:hAnsiTheme="minorHAnsi" w:cstheme="minorHAnsi"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2FCF7C0A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5D64B3F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Nadväzujúca príprava nasleduje po zákonnej príprave hlavných inštruktorov alebo inštruktorov a jej cieľom je prehlbovanie a rozširovanie odborných kompetencií v záujme zvyšovania kvality SDV. </w:t>
            </w:r>
          </w:p>
          <w:p w14:paraId="491191E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Predpokladá sa v rozsahu najviac 2 dni. Aj HI/I iných zamestnávateľov.</w:t>
            </w:r>
          </w:p>
          <w:p w14:paraId="4216C82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7F0917FE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Účasťou na zákonnej alebo nadväzujúcej príprave je priama realizácia zákonnej alebo nadväzujúcej prípravy alebo aktívna spolupráca na jej realizácii prostredníctvom zamestnancov NVC, priestorov alebo vybavenia NVC a preukazuje sa dokumentáciou a zoznamom účastníkov aktivity.</w:t>
            </w:r>
          </w:p>
        </w:tc>
        <w:tc>
          <w:tcPr>
            <w:tcW w:w="1077" w:type="dxa"/>
            <w:vAlign w:val="center"/>
          </w:tcPr>
          <w:p w14:paraId="1AEA6256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81" w:type="dxa"/>
            <w:vAlign w:val="center"/>
          </w:tcPr>
          <w:p w14:paraId="2CCB48D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sa nezúčastňuje na zákonnej alebo nadväzujúcej príprave HI/I.</w:t>
            </w:r>
          </w:p>
        </w:tc>
      </w:tr>
      <w:tr w:rsidR="0056444B" w:rsidRPr="00E34476" w14:paraId="67C392EA" w14:textId="77777777" w:rsidTr="004F0B3A">
        <w:trPr>
          <w:trHeight w:val="863"/>
        </w:trPr>
        <w:tc>
          <w:tcPr>
            <w:tcW w:w="586" w:type="dxa"/>
            <w:vMerge/>
            <w:vAlign w:val="center"/>
          </w:tcPr>
          <w:p w14:paraId="2A2ED623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61D9D07C" w14:textId="77777777" w:rsidR="0056444B" w:rsidRPr="00E34476" w:rsidRDefault="0056444B" w:rsidP="004F0B3A">
            <w:pPr>
              <w:pStyle w:val="Bezriadkovania"/>
              <w:ind w:left="-4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7C2001B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72EF573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00"/>
            <w:vAlign w:val="center"/>
          </w:tcPr>
          <w:p w14:paraId="62F1FBF3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081" w:type="dxa"/>
            <w:shd w:val="clear" w:color="auto" w:fill="FFFF00"/>
            <w:vAlign w:val="center"/>
          </w:tcPr>
          <w:p w14:paraId="785B75D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sa zúčastňuje na zákonnej alebo nadväzujúcej príprave HI/I pre 10 až 25 účastníkov za kalendárny rok.</w:t>
            </w:r>
          </w:p>
        </w:tc>
      </w:tr>
      <w:tr w:rsidR="0056444B" w:rsidRPr="00E34476" w14:paraId="53574B52" w14:textId="77777777" w:rsidTr="004F0B3A">
        <w:trPr>
          <w:trHeight w:val="823"/>
        </w:trPr>
        <w:tc>
          <w:tcPr>
            <w:tcW w:w="586" w:type="dxa"/>
            <w:vMerge/>
            <w:vAlign w:val="center"/>
          </w:tcPr>
          <w:p w14:paraId="54E7F9A4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6260F23A" w14:textId="77777777" w:rsidR="0056444B" w:rsidRPr="00E34476" w:rsidRDefault="0056444B" w:rsidP="004F0B3A">
            <w:pPr>
              <w:pStyle w:val="Bezriadkovania"/>
              <w:ind w:left="-4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3C39794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03ED98D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D0C5A79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DF7B7E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sa zúčastňuje na zákonnej alebo nadväzujúcej príprave HI/I pre 26 až 75 účastníkov za kalendárny rok.</w:t>
            </w:r>
          </w:p>
        </w:tc>
      </w:tr>
      <w:tr w:rsidR="0056444B" w:rsidRPr="00E34476" w14:paraId="05712096" w14:textId="77777777" w:rsidTr="004F0B3A">
        <w:trPr>
          <w:trHeight w:val="835"/>
        </w:trPr>
        <w:tc>
          <w:tcPr>
            <w:tcW w:w="586" w:type="dxa"/>
            <w:vMerge/>
            <w:vAlign w:val="center"/>
          </w:tcPr>
          <w:p w14:paraId="56F1755C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08302BD5" w14:textId="77777777" w:rsidR="0056444B" w:rsidRPr="00E34476" w:rsidRDefault="0056444B" w:rsidP="004F0B3A">
            <w:pPr>
              <w:pStyle w:val="Bezriadkovania"/>
              <w:ind w:left="-4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3B0E42F3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2D2B437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6FC6ED63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3D8DD6A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sa zúčastňuje na zákonnej alebo nadväzujúcej príprave HI/I pre 76 až 100 účastníkov za kalendárny rok.</w:t>
            </w:r>
          </w:p>
        </w:tc>
      </w:tr>
      <w:tr w:rsidR="0056444B" w:rsidRPr="00E34476" w14:paraId="2263EE94" w14:textId="77777777" w:rsidTr="004F0B3A">
        <w:trPr>
          <w:trHeight w:val="453"/>
        </w:trPr>
        <w:tc>
          <w:tcPr>
            <w:tcW w:w="586" w:type="dxa"/>
            <w:vMerge/>
            <w:vAlign w:val="center"/>
          </w:tcPr>
          <w:p w14:paraId="5FFBD263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5AC30D22" w14:textId="77777777" w:rsidR="0056444B" w:rsidRPr="00E34476" w:rsidRDefault="0056444B" w:rsidP="004F0B3A">
            <w:pPr>
              <w:pStyle w:val="Bezriadkovania"/>
              <w:ind w:left="-4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07DBC42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15007D6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ED7E0F0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4ADD2F1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NVC sa zúčastňuje na zákonnej alebo nadväzujúcej príprave HI/I pre viac ako 100 účastníkov za kalendárny rok. </w:t>
            </w:r>
          </w:p>
        </w:tc>
      </w:tr>
      <w:tr w:rsidR="0056444B" w:rsidRPr="00E34476" w14:paraId="4850B2A4" w14:textId="77777777" w:rsidTr="004F0B3A">
        <w:trPr>
          <w:trHeight w:val="992"/>
        </w:trPr>
        <w:tc>
          <w:tcPr>
            <w:tcW w:w="586" w:type="dxa"/>
            <w:vMerge w:val="restart"/>
            <w:vAlign w:val="center"/>
          </w:tcPr>
          <w:p w14:paraId="6EC47536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01D18378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Účasť na vypracovaní jednotných zadaní pre záverečnú skúšku (ZS) a pre odbornú zložku odbornej maturitnej skúšky (OMS). </w:t>
            </w:r>
          </w:p>
          <w:p w14:paraId="5DAD46F8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B8870A9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Účasť na vypracovaní alebo aktualizácii ŠVP, vzdelávacích štandardov, normatívov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MTaPZ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pre odbory vzdelávania v SDV. </w:t>
            </w:r>
          </w:p>
          <w:p w14:paraId="1C56E8B3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D29E4AE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Účasť na experimentálnom overovaní odborov vzdelávania.</w:t>
            </w:r>
          </w:p>
        </w:tc>
        <w:tc>
          <w:tcPr>
            <w:tcW w:w="2793" w:type="dxa"/>
            <w:vMerge w:val="restart"/>
            <w:vAlign w:val="center"/>
          </w:tcPr>
          <w:p w14:paraId="5B36D64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Spracované jednotné zadania najmenej pre 5 odborov vzdelávania za kalendárny rok. </w:t>
            </w:r>
          </w:p>
          <w:p w14:paraId="61C65CC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1E2C82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Spracované návrhy alebo posudky aktualizácie vzdelávacích štandardov a normatívov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MTaPZ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 pre najmenej 5 odborov vzdelávania za kalendárny rok. </w:t>
            </w:r>
          </w:p>
          <w:p w14:paraId="4424D23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53A23AB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 xml:space="preserve">Spracované návrhy alebo posudky projektov </w:t>
            </w:r>
            <w:proofErr w:type="spellStart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exp</w:t>
            </w:r>
            <w:proofErr w:type="spellEnd"/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. overovania najmenej pre 4 odbory vzdelávania za kalendárny rok.</w:t>
            </w:r>
          </w:p>
        </w:tc>
        <w:tc>
          <w:tcPr>
            <w:tcW w:w="3343" w:type="dxa"/>
            <w:vMerge w:val="restart"/>
            <w:vAlign w:val="center"/>
          </w:tcPr>
          <w:p w14:paraId="11B43091" w14:textId="77777777" w:rsidR="0056444B" w:rsidRPr="00E34476" w:rsidRDefault="0056444B" w:rsidP="004F0B3A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Posudzovať sa bude účasť NVC na nasledovných aktivitách:</w:t>
            </w:r>
          </w:p>
          <w:p w14:paraId="48B7DE3A" w14:textId="77777777" w:rsidR="0056444B" w:rsidRPr="00E34476" w:rsidRDefault="0056444B" w:rsidP="0056444B">
            <w:pPr>
              <w:pStyle w:val="Odsekzoznamu"/>
              <w:numPr>
                <w:ilvl w:val="0"/>
                <w:numId w:val="5"/>
              </w:numPr>
              <w:ind w:left="536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účasť na spracovaní jednotných zadaní pre ZS,</w:t>
            </w:r>
          </w:p>
          <w:p w14:paraId="50D52FB6" w14:textId="77777777" w:rsidR="0056444B" w:rsidRPr="00E34476" w:rsidRDefault="0056444B" w:rsidP="0056444B">
            <w:pPr>
              <w:pStyle w:val="Odsekzoznamu"/>
              <w:numPr>
                <w:ilvl w:val="0"/>
                <w:numId w:val="5"/>
              </w:numPr>
              <w:ind w:left="536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účasť na spracovaní jednotných zadaní pre OMS,</w:t>
            </w:r>
          </w:p>
          <w:p w14:paraId="1D942E63" w14:textId="77777777" w:rsidR="0056444B" w:rsidRPr="00E34476" w:rsidRDefault="0056444B" w:rsidP="0056444B">
            <w:pPr>
              <w:pStyle w:val="Odsekzoznamu"/>
              <w:numPr>
                <w:ilvl w:val="0"/>
                <w:numId w:val="5"/>
              </w:numPr>
              <w:ind w:left="536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>účasť na spracovaní aktualizácií vzdelávacích štandardov ŠVP a pod.,</w:t>
            </w:r>
          </w:p>
          <w:p w14:paraId="58C45A90" w14:textId="77777777" w:rsidR="0056444B" w:rsidRPr="00E34476" w:rsidRDefault="0056444B" w:rsidP="0056444B">
            <w:pPr>
              <w:pStyle w:val="Odsekzoznamu"/>
              <w:numPr>
                <w:ilvl w:val="0"/>
                <w:numId w:val="5"/>
              </w:numPr>
              <w:ind w:left="536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 xml:space="preserve">účasť na spracovaní normatívov </w:t>
            </w:r>
            <w:proofErr w:type="spellStart"/>
            <w:r w:rsidRPr="00E34476">
              <w:rPr>
                <w:rFonts w:cstheme="minorHAnsi"/>
                <w:sz w:val="20"/>
                <w:szCs w:val="20"/>
              </w:rPr>
              <w:t>MZaPZ</w:t>
            </w:r>
            <w:proofErr w:type="spellEnd"/>
            <w:r w:rsidRPr="00E34476">
              <w:rPr>
                <w:rFonts w:cstheme="minorHAnsi"/>
                <w:sz w:val="20"/>
                <w:szCs w:val="20"/>
              </w:rPr>
              <w:t>,</w:t>
            </w:r>
          </w:p>
          <w:p w14:paraId="7FD334E7" w14:textId="77777777" w:rsidR="0056444B" w:rsidRPr="00E34476" w:rsidRDefault="0056444B" w:rsidP="0056444B">
            <w:pPr>
              <w:pStyle w:val="Odsekzoznamu"/>
              <w:numPr>
                <w:ilvl w:val="0"/>
                <w:numId w:val="5"/>
              </w:numPr>
              <w:ind w:left="536"/>
              <w:rPr>
                <w:rFonts w:cstheme="minorHAnsi"/>
                <w:sz w:val="20"/>
                <w:szCs w:val="20"/>
              </w:rPr>
            </w:pPr>
            <w:r w:rsidRPr="00E34476">
              <w:rPr>
                <w:rFonts w:cstheme="minorHAnsi"/>
                <w:sz w:val="20"/>
                <w:szCs w:val="20"/>
              </w:rPr>
              <w:t xml:space="preserve">účasť na experimentálnom overovaní odborov vzdelávania. </w:t>
            </w:r>
          </w:p>
          <w:p w14:paraId="64A18604" w14:textId="21CEEE5D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Pozn.: Ak nebude požiadavka na spracovanie výstupov uvedených v kritériu, S</w:t>
            </w:r>
            <w:r w:rsidR="008B57D6" w:rsidRPr="00E344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PPK</w:t>
            </w:r>
            <w:r w:rsidRPr="00E3447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primerane upraví hodnotenie kritéria a celkové hodnotenie kritérií.</w:t>
            </w:r>
          </w:p>
        </w:tc>
        <w:tc>
          <w:tcPr>
            <w:tcW w:w="1077" w:type="dxa"/>
            <w:vAlign w:val="center"/>
          </w:tcPr>
          <w:p w14:paraId="239F2A49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81" w:type="dxa"/>
            <w:vAlign w:val="center"/>
          </w:tcPr>
          <w:p w14:paraId="2C25FC6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sa nezúčastňuje na aktivitách uvedených v kritériu.</w:t>
            </w:r>
          </w:p>
        </w:tc>
      </w:tr>
      <w:tr w:rsidR="0056444B" w:rsidRPr="00E34476" w14:paraId="7716F758" w14:textId="77777777" w:rsidTr="004F0B3A">
        <w:trPr>
          <w:trHeight w:val="848"/>
        </w:trPr>
        <w:tc>
          <w:tcPr>
            <w:tcW w:w="586" w:type="dxa"/>
            <w:vMerge/>
            <w:vAlign w:val="center"/>
          </w:tcPr>
          <w:p w14:paraId="5AE21265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2DE89E36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500A3836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331B4B1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91D1C55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081" w:type="dxa"/>
            <w:vAlign w:val="center"/>
          </w:tcPr>
          <w:p w14:paraId="2CD4B45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sa zúčastňuje na 1 aktivite uvedenej v kritériu.</w:t>
            </w:r>
          </w:p>
        </w:tc>
      </w:tr>
      <w:tr w:rsidR="0056444B" w:rsidRPr="00E34476" w14:paraId="20D663DE" w14:textId="77777777" w:rsidTr="004F0B3A">
        <w:trPr>
          <w:trHeight w:val="975"/>
        </w:trPr>
        <w:tc>
          <w:tcPr>
            <w:tcW w:w="586" w:type="dxa"/>
            <w:vMerge/>
            <w:vAlign w:val="center"/>
          </w:tcPr>
          <w:p w14:paraId="471BDC56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12E0A257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4EC0A7F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4FF7953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00"/>
            <w:vAlign w:val="center"/>
          </w:tcPr>
          <w:p w14:paraId="6823BEC2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81" w:type="dxa"/>
            <w:shd w:val="clear" w:color="auto" w:fill="FFFF00"/>
            <w:vAlign w:val="center"/>
          </w:tcPr>
          <w:p w14:paraId="3E5A14A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sa zúčastňuje na 2 aktivitách uvedených v kritériu.</w:t>
            </w:r>
          </w:p>
        </w:tc>
      </w:tr>
      <w:tr w:rsidR="0056444B" w:rsidRPr="00E34476" w14:paraId="2C6F80B8" w14:textId="77777777" w:rsidTr="004F0B3A">
        <w:trPr>
          <w:trHeight w:val="833"/>
        </w:trPr>
        <w:tc>
          <w:tcPr>
            <w:tcW w:w="586" w:type="dxa"/>
            <w:vMerge/>
            <w:vAlign w:val="center"/>
          </w:tcPr>
          <w:p w14:paraId="5BC20D65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3E88BC0D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1EA308D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6F96792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AB248E5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24A36BE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sa zúčastňuje na 3 aktivitách uvedených v kritériu.</w:t>
            </w:r>
          </w:p>
        </w:tc>
      </w:tr>
      <w:tr w:rsidR="0056444B" w:rsidRPr="00E34476" w14:paraId="01DBAA73" w14:textId="77777777" w:rsidTr="004F0B3A">
        <w:trPr>
          <w:trHeight w:val="143"/>
        </w:trPr>
        <w:tc>
          <w:tcPr>
            <w:tcW w:w="586" w:type="dxa"/>
            <w:vMerge/>
            <w:vAlign w:val="center"/>
          </w:tcPr>
          <w:p w14:paraId="4CA9D9BA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2B1287F8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00F6EEF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1C394FB9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5DB41A36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15E8330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sa zúčastňuje na najmenej 4 aktivitách uvedených v kritériu.</w:t>
            </w:r>
          </w:p>
        </w:tc>
      </w:tr>
      <w:tr w:rsidR="0056444B" w:rsidRPr="00E34476" w14:paraId="7BB79330" w14:textId="77777777" w:rsidTr="004F0B3A">
        <w:trPr>
          <w:trHeight w:val="143"/>
        </w:trPr>
        <w:tc>
          <w:tcPr>
            <w:tcW w:w="586" w:type="dxa"/>
            <w:vMerge w:val="restart"/>
            <w:vAlign w:val="center"/>
          </w:tcPr>
          <w:p w14:paraId="6326A15E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 w:val="restart"/>
            <w:vAlign w:val="center"/>
          </w:tcPr>
          <w:p w14:paraId="5C0977B4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Miera využitia výsledkov vzdelávania.</w:t>
            </w:r>
          </w:p>
        </w:tc>
        <w:tc>
          <w:tcPr>
            <w:tcW w:w="2793" w:type="dxa"/>
            <w:vMerge w:val="restart"/>
            <w:vAlign w:val="center"/>
          </w:tcPr>
          <w:p w14:paraId="72421C1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Dotazníkovým zisťovaním potvrdenie kvality a využitia výsledkov vzdelávania v praxi najmenej na úrovni 16 b z 20 bodovej škály hodnotenia.</w:t>
            </w:r>
          </w:p>
          <w:p w14:paraId="6D3C872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461ACE0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Do zisťovania je zapojených najmenej 20 zamestnávateľov.</w:t>
            </w:r>
          </w:p>
        </w:tc>
        <w:tc>
          <w:tcPr>
            <w:tcW w:w="3343" w:type="dxa"/>
            <w:vMerge w:val="restart"/>
            <w:vAlign w:val="center"/>
          </w:tcPr>
          <w:p w14:paraId="0D5F703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Do dotazníkového zisťovania budú zapojení účastníci vzdelávania a ich zamestnávatelia.</w:t>
            </w:r>
          </w:p>
          <w:p w14:paraId="216096E5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1189896A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Hodnotený bude priemer bodov za všetky dotazníkové položky.</w:t>
            </w:r>
          </w:p>
        </w:tc>
        <w:tc>
          <w:tcPr>
            <w:tcW w:w="1077" w:type="dxa"/>
            <w:vAlign w:val="center"/>
          </w:tcPr>
          <w:p w14:paraId="64696027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5081" w:type="dxa"/>
            <w:vAlign w:val="center"/>
          </w:tcPr>
          <w:p w14:paraId="399A9E4C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nezisťuje mieru využívania výsledkov vzdelávania.</w:t>
            </w:r>
          </w:p>
        </w:tc>
      </w:tr>
      <w:tr w:rsidR="0056444B" w:rsidRPr="00E34476" w14:paraId="780DC16E" w14:textId="77777777" w:rsidTr="004F0B3A">
        <w:trPr>
          <w:trHeight w:val="139"/>
        </w:trPr>
        <w:tc>
          <w:tcPr>
            <w:tcW w:w="586" w:type="dxa"/>
            <w:vMerge/>
            <w:vAlign w:val="center"/>
          </w:tcPr>
          <w:p w14:paraId="4C968083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44CD06F8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089128B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43D3DF6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322E53FA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081" w:type="dxa"/>
            <w:vAlign w:val="center"/>
          </w:tcPr>
          <w:p w14:paraId="36586454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spracovaný dotazník pre zisťovanie využitia výsledkov vzdelávanie ale nevyužíva ho v praxi.</w:t>
            </w:r>
          </w:p>
        </w:tc>
      </w:tr>
      <w:tr w:rsidR="0056444B" w:rsidRPr="00E34476" w14:paraId="0C2C48C8" w14:textId="77777777" w:rsidTr="004F0B3A">
        <w:trPr>
          <w:trHeight w:val="139"/>
        </w:trPr>
        <w:tc>
          <w:tcPr>
            <w:tcW w:w="586" w:type="dxa"/>
            <w:vMerge/>
            <w:vAlign w:val="center"/>
          </w:tcPr>
          <w:p w14:paraId="42C28DC6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3CC5C5AA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0A3CD158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5A37D47D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FFFF00"/>
            <w:vAlign w:val="center"/>
          </w:tcPr>
          <w:p w14:paraId="2ADFB01B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081" w:type="dxa"/>
            <w:shd w:val="clear" w:color="auto" w:fill="FFFF00"/>
            <w:vAlign w:val="center"/>
          </w:tcPr>
          <w:p w14:paraId="6273B67A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spracovaný dotazník pre zisťovanie využitia výsledkov vzdelávanie a využíva ho v praxi a zapojených je najmenej 10 zamestnávateľov.</w:t>
            </w:r>
          </w:p>
        </w:tc>
      </w:tr>
      <w:tr w:rsidR="0056444B" w:rsidRPr="00E34476" w14:paraId="3B7599B5" w14:textId="77777777" w:rsidTr="004F0B3A">
        <w:trPr>
          <w:trHeight w:val="139"/>
        </w:trPr>
        <w:tc>
          <w:tcPr>
            <w:tcW w:w="586" w:type="dxa"/>
            <w:vMerge/>
            <w:vAlign w:val="center"/>
          </w:tcPr>
          <w:p w14:paraId="19F0C7B2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4529C37E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6E3D8BB7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4A25EE9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2C3F855B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1BEBADC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spracovaný dotazník pre zisťovanie využitia výsledkov vzdelávanie a využíva ho v praxi a zapojených je najmenej 15 zamestnávateľov.</w:t>
            </w:r>
          </w:p>
        </w:tc>
      </w:tr>
      <w:tr w:rsidR="0056444B" w:rsidRPr="00E34476" w14:paraId="7CA0A4B1" w14:textId="77777777" w:rsidTr="004F0B3A">
        <w:trPr>
          <w:trHeight w:val="139"/>
        </w:trPr>
        <w:tc>
          <w:tcPr>
            <w:tcW w:w="586" w:type="dxa"/>
            <w:vMerge/>
            <w:vAlign w:val="center"/>
          </w:tcPr>
          <w:p w14:paraId="2996915E" w14:textId="77777777" w:rsidR="0056444B" w:rsidRPr="00E34476" w:rsidRDefault="0056444B" w:rsidP="0056444B">
            <w:pPr>
              <w:pStyle w:val="Bezriadkovania"/>
              <w:numPr>
                <w:ilvl w:val="0"/>
                <w:numId w:val="4"/>
              </w:numPr>
              <w:ind w:left="162" w:hanging="165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00" w:type="dxa"/>
            <w:vMerge/>
            <w:vAlign w:val="center"/>
          </w:tcPr>
          <w:p w14:paraId="10538A1C" w14:textId="77777777" w:rsidR="0056444B" w:rsidRPr="00E34476" w:rsidRDefault="0056444B" w:rsidP="004F0B3A">
            <w:pPr>
              <w:ind w:left="-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3" w:type="dxa"/>
            <w:vMerge/>
            <w:vAlign w:val="center"/>
          </w:tcPr>
          <w:p w14:paraId="6FE6082B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43" w:type="dxa"/>
            <w:vMerge/>
            <w:vAlign w:val="center"/>
          </w:tcPr>
          <w:p w14:paraId="66D45C12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7BDD0184" w14:textId="77777777" w:rsidR="0056444B" w:rsidRPr="00E34476" w:rsidRDefault="0056444B" w:rsidP="004F0B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081" w:type="dxa"/>
            <w:shd w:val="clear" w:color="auto" w:fill="auto"/>
            <w:vAlign w:val="center"/>
          </w:tcPr>
          <w:p w14:paraId="68902321" w14:textId="77777777" w:rsidR="0056444B" w:rsidRPr="00E34476" w:rsidRDefault="0056444B" w:rsidP="004F0B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sz w:val="20"/>
                <w:szCs w:val="20"/>
              </w:rPr>
              <w:t>NVC má spracovaný dotazník pre zisťovanie využitia výsledkov vzdelávanie a využíva ho v praxi a zapojených je najmenej 20 zamestnávateľov.</w:t>
            </w:r>
          </w:p>
        </w:tc>
      </w:tr>
      <w:tr w:rsidR="0056444B" w:rsidRPr="00E34476" w14:paraId="4304C522" w14:textId="77777777" w:rsidTr="004F0B3A">
        <w:tc>
          <w:tcPr>
            <w:tcW w:w="9222" w:type="dxa"/>
            <w:gridSpan w:val="4"/>
            <w:vAlign w:val="center"/>
          </w:tcPr>
          <w:p w14:paraId="39DB163C" w14:textId="77777777" w:rsidR="0056444B" w:rsidRPr="00E34476" w:rsidRDefault="0056444B" w:rsidP="004F0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Celkom</w:t>
            </w:r>
          </w:p>
        </w:tc>
        <w:tc>
          <w:tcPr>
            <w:tcW w:w="6158" w:type="dxa"/>
            <w:gridSpan w:val="2"/>
          </w:tcPr>
          <w:p w14:paraId="24F0C00F" w14:textId="77777777" w:rsidR="0056444B" w:rsidRPr="00E34476" w:rsidRDefault="0056444B" w:rsidP="004F0B3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3447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24</w:t>
            </w:r>
          </w:p>
        </w:tc>
      </w:tr>
    </w:tbl>
    <w:p w14:paraId="290B8058" w14:textId="77777777" w:rsidR="0056444B" w:rsidRPr="00E34476" w:rsidRDefault="0056444B" w:rsidP="0056444B">
      <w:pPr>
        <w:pStyle w:val="Bezriadkovania"/>
        <w:ind w:left="-1134"/>
        <w:rPr>
          <w:rFonts w:cstheme="minorHAnsi"/>
        </w:rPr>
      </w:pPr>
      <w:r w:rsidRPr="00E34476">
        <w:rPr>
          <w:rFonts w:cstheme="minorHAnsi"/>
        </w:rPr>
        <w:t xml:space="preserve">  </w:t>
      </w:r>
    </w:p>
    <w:p w14:paraId="207AB6EB" w14:textId="77777777" w:rsidR="0056444B" w:rsidRPr="00E34476" w:rsidRDefault="0056444B" w:rsidP="008B57D6">
      <w:pPr>
        <w:ind w:right="-637"/>
        <w:rPr>
          <w:rFonts w:asciiTheme="minorHAnsi" w:hAnsiTheme="minorHAnsi" w:cstheme="minorHAnsi"/>
          <w:b/>
          <w:bCs/>
          <w:sz w:val="22"/>
          <w:szCs w:val="22"/>
        </w:rPr>
      </w:pPr>
    </w:p>
    <w:p w14:paraId="2E7C76ED" w14:textId="4ACFC9BA" w:rsidR="0056444B" w:rsidRPr="00E34476" w:rsidRDefault="0056444B" w:rsidP="0056444B">
      <w:pPr>
        <w:ind w:left="-1134" w:right="-637"/>
        <w:rPr>
          <w:rFonts w:asciiTheme="minorHAnsi" w:hAnsiTheme="minorHAnsi" w:cstheme="minorHAnsi"/>
          <w:b/>
          <w:bCs/>
          <w:sz w:val="22"/>
          <w:szCs w:val="22"/>
        </w:rPr>
      </w:pPr>
      <w:r w:rsidRPr="00E34476">
        <w:rPr>
          <w:rFonts w:asciiTheme="minorHAnsi" w:hAnsiTheme="minorHAnsi" w:cstheme="minorHAnsi"/>
          <w:b/>
          <w:bCs/>
          <w:sz w:val="22"/>
          <w:szCs w:val="22"/>
        </w:rPr>
        <w:t>Termíny pre očakávaný progres plnenia kritérií pre používanie označenia „NVC“ pre obdobie do 31.12.2024</w:t>
      </w:r>
    </w:p>
    <w:p w14:paraId="77EB2229" w14:textId="77777777" w:rsidR="0056444B" w:rsidRPr="00E34476" w:rsidRDefault="0056444B" w:rsidP="0056444B">
      <w:pPr>
        <w:pStyle w:val="Bezriadkovania"/>
        <w:rPr>
          <w:rFonts w:cstheme="minorHAnsi"/>
        </w:rPr>
      </w:pPr>
    </w:p>
    <w:p w14:paraId="247BC4EC" w14:textId="77777777" w:rsidR="007B5BF9" w:rsidRDefault="007B5BF9" w:rsidP="0056444B">
      <w:pPr>
        <w:pStyle w:val="Bezriadkovania"/>
        <w:ind w:left="-1134"/>
        <w:rPr>
          <w:rFonts w:cstheme="minorHAnsi"/>
          <w:b/>
          <w:bCs/>
        </w:rPr>
      </w:pPr>
    </w:p>
    <w:p w14:paraId="627E516C" w14:textId="77777777" w:rsidR="007B5BF9" w:rsidRDefault="007B5BF9" w:rsidP="0056444B">
      <w:pPr>
        <w:pStyle w:val="Bezriadkovania"/>
        <w:ind w:left="-1134"/>
        <w:rPr>
          <w:rFonts w:cstheme="minorHAnsi"/>
          <w:b/>
          <w:bCs/>
        </w:rPr>
      </w:pPr>
    </w:p>
    <w:p w14:paraId="128A645A" w14:textId="3B3E5CE3" w:rsidR="0056444B" w:rsidRPr="00E34476" w:rsidRDefault="0056444B" w:rsidP="0056444B">
      <w:pPr>
        <w:pStyle w:val="Bezriadkovania"/>
        <w:ind w:left="-1134"/>
        <w:rPr>
          <w:rFonts w:cstheme="minorHAnsi"/>
          <w:b/>
          <w:bCs/>
          <w:color w:val="0070C0"/>
        </w:rPr>
      </w:pPr>
      <w:r w:rsidRPr="00E34476">
        <w:rPr>
          <w:rFonts w:cstheme="minorHAnsi"/>
          <w:b/>
          <w:bCs/>
        </w:rPr>
        <w:lastRenderedPageBreak/>
        <w:t>Časová snímka plnenia hodnotiacich kritérií pri podaní žiadosti do 30.6.2022:</w:t>
      </w:r>
    </w:p>
    <w:p w14:paraId="62388212" w14:textId="77777777" w:rsidR="0056444B" w:rsidRPr="00E34476" w:rsidRDefault="0056444B" w:rsidP="0056444B">
      <w:pPr>
        <w:pStyle w:val="Bezriadkovania"/>
        <w:ind w:left="-1134"/>
        <w:rPr>
          <w:rFonts w:cstheme="minorHAnsi"/>
        </w:rPr>
      </w:pPr>
    </w:p>
    <w:tbl>
      <w:tblPr>
        <w:tblStyle w:val="Mriekatabuky"/>
        <w:tblW w:w="14454" w:type="dxa"/>
        <w:tblInd w:w="-998" w:type="dxa"/>
        <w:tblLook w:val="04A0" w:firstRow="1" w:lastRow="0" w:firstColumn="1" w:lastColumn="0" w:noHBand="0" w:noVBand="1"/>
      </w:tblPr>
      <w:tblGrid>
        <w:gridCol w:w="4531"/>
        <w:gridCol w:w="6379"/>
        <w:gridCol w:w="3544"/>
      </w:tblGrid>
      <w:tr w:rsidR="0056444B" w:rsidRPr="00E34476" w14:paraId="0F8E5C4B" w14:textId="77777777" w:rsidTr="004F0B3A">
        <w:tc>
          <w:tcPr>
            <w:tcW w:w="4531" w:type="dxa"/>
            <w:vAlign w:val="center"/>
          </w:tcPr>
          <w:p w14:paraId="2CE2E147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E34476">
              <w:rPr>
                <w:rFonts w:cstheme="minorHAnsi"/>
                <w:b/>
                <w:bCs/>
              </w:rPr>
              <w:t>Stupeň plnenia hodnotiacich kritérií pre NVC</w:t>
            </w:r>
          </w:p>
        </w:tc>
        <w:tc>
          <w:tcPr>
            <w:tcW w:w="6379" w:type="dxa"/>
            <w:vAlign w:val="center"/>
          </w:tcPr>
          <w:p w14:paraId="16E93A7C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E34476">
              <w:rPr>
                <w:rFonts w:cstheme="minorHAnsi"/>
                <w:b/>
                <w:bCs/>
              </w:rPr>
              <w:t>Obdobie plnenia hodnotiacich kritérií</w:t>
            </w:r>
          </w:p>
        </w:tc>
        <w:tc>
          <w:tcPr>
            <w:tcW w:w="3544" w:type="dxa"/>
            <w:vAlign w:val="center"/>
          </w:tcPr>
          <w:p w14:paraId="0C756AC9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E34476">
              <w:rPr>
                <w:rFonts w:cstheme="minorHAnsi"/>
                <w:b/>
                <w:bCs/>
              </w:rPr>
              <w:t>Požadovaný celkový počet bodov v rámci priebežného hodnotenia progresu NVC v plnení hodnotiacich kritérií pre certifikát NVC s platnosťou 3 roky/počet bodov pre vyhovujúci stav pre certifikát NVC s platnosťou 7 rokov</w:t>
            </w:r>
          </w:p>
        </w:tc>
      </w:tr>
      <w:tr w:rsidR="0056444B" w:rsidRPr="00E34476" w14:paraId="003DE1C3" w14:textId="77777777" w:rsidTr="004F0B3A">
        <w:tc>
          <w:tcPr>
            <w:tcW w:w="4531" w:type="dxa"/>
            <w:shd w:val="clear" w:color="auto" w:fill="FFFF00"/>
          </w:tcPr>
          <w:p w14:paraId="6377505B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Vstupný štandard</w:t>
            </w:r>
          </w:p>
        </w:tc>
        <w:tc>
          <w:tcPr>
            <w:tcW w:w="6379" w:type="dxa"/>
            <w:shd w:val="clear" w:color="auto" w:fill="FFFF00"/>
          </w:tcPr>
          <w:p w14:paraId="7352AC37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Rozhodovanie o používaní označenia NVC.</w:t>
            </w:r>
          </w:p>
        </w:tc>
        <w:tc>
          <w:tcPr>
            <w:tcW w:w="3544" w:type="dxa"/>
            <w:shd w:val="clear" w:color="auto" w:fill="FFFF00"/>
          </w:tcPr>
          <w:p w14:paraId="45A5AF2B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22</w:t>
            </w:r>
          </w:p>
        </w:tc>
      </w:tr>
      <w:tr w:rsidR="0056444B" w:rsidRPr="00E34476" w14:paraId="76E55270" w14:textId="77777777" w:rsidTr="004F0B3A">
        <w:tc>
          <w:tcPr>
            <w:tcW w:w="4531" w:type="dxa"/>
            <w:shd w:val="clear" w:color="auto" w:fill="FFC000"/>
          </w:tcPr>
          <w:p w14:paraId="610AA0D9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Progres 1</w:t>
            </w:r>
          </w:p>
        </w:tc>
        <w:tc>
          <w:tcPr>
            <w:tcW w:w="6379" w:type="dxa"/>
            <w:shd w:val="clear" w:color="auto" w:fill="FFC000"/>
          </w:tcPr>
          <w:p w14:paraId="6FC988B6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do 31.12.2022</w:t>
            </w:r>
          </w:p>
        </w:tc>
        <w:tc>
          <w:tcPr>
            <w:tcW w:w="3544" w:type="dxa"/>
            <w:shd w:val="clear" w:color="auto" w:fill="FFC000"/>
          </w:tcPr>
          <w:p w14:paraId="218E9B37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26</w:t>
            </w:r>
          </w:p>
        </w:tc>
      </w:tr>
      <w:tr w:rsidR="0056444B" w:rsidRPr="00E34476" w14:paraId="42E3BD8F" w14:textId="77777777" w:rsidTr="004F0B3A">
        <w:tc>
          <w:tcPr>
            <w:tcW w:w="4531" w:type="dxa"/>
            <w:shd w:val="clear" w:color="auto" w:fill="00B0F0"/>
          </w:tcPr>
          <w:p w14:paraId="56987B23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Progres 2</w:t>
            </w:r>
          </w:p>
        </w:tc>
        <w:tc>
          <w:tcPr>
            <w:tcW w:w="6379" w:type="dxa"/>
            <w:shd w:val="clear" w:color="auto" w:fill="00B0F0"/>
          </w:tcPr>
          <w:p w14:paraId="32B8CFA6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do 31.12.2023</w:t>
            </w:r>
          </w:p>
        </w:tc>
        <w:tc>
          <w:tcPr>
            <w:tcW w:w="3544" w:type="dxa"/>
            <w:shd w:val="clear" w:color="auto" w:fill="00B0F0"/>
          </w:tcPr>
          <w:p w14:paraId="7702D64A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30</w:t>
            </w:r>
          </w:p>
        </w:tc>
      </w:tr>
      <w:tr w:rsidR="0056444B" w:rsidRPr="00E34476" w14:paraId="06D54600" w14:textId="77777777" w:rsidTr="004F0B3A">
        <w:tc>
          <w:tcPr>
            <w:tcW w:w="4531" w:type="dxa"/>
            <w:shd w:val="clear" w:color="auto" w:fill="92D050"/>
          </w:tcPr>
          <w:p w14:paraId="35EBE759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Progres 3</w:t>
            </w:r>
          </w:p>
        </w:tc>
        <w:tc>
          <w:tcPr>
            <w:tcW w:w="6379" w:type="dxa"/>
            <w:shd w:val="clear" w:color="auto" w:fill="92D050"/>
          </w:tcPr>
          <w:p w14:paraId="3617175A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do 31.12.2024</w:t>
            </w:r>
          </w:p>
        </w:tc>
        <w:tc>
          <w:tcPr>
            <w:tcW w:w="3544" w:type="dxa"/>
            <w:shd w:val="clear" w:color="auto" w:fill="92D050"/>
          </w:tcPr>
          <w:p w14:paraId="2EE79F41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34</w:t>
            </w:r>
          </w:p>
        </w:tc>
      </w:tr>
    </w:tbl>
    <w:p w14:paraId="3EEB291E" w14:textId="77777777" w:rsidR="0056444B" w:rsidRPr="00E34476" w:rsidRDefault="0056444B" w:rsidP="0056444B">
      <w:pPr>
        <w:pStyle w:val="Bezriadkovania"/>
        <w:ind w:left="-1134"/>
        <w:rPr>
          <w:rFonts w:cstheme="minorHAnsi"/>
        </w:rPr>
      </w:pPr>
    </w:p>
    <w:p w14:paraId="5E9549CD" w14:textId="77777777" w:rsidR="0056444B" w:rsidRPr="00E34476" w:rsidRDefault="0056444B" w:rsidP="0056444B">
      <w:pPr>
        <w:pStyle w:val="Bezriadkovania"/>
        <w:ind w:left="-1134"/>
        <w:rPr>
          <w:rFonts w:cstheme="minorHAnsi"/>
        </w:rPr>
      </w:pPr>
    </w:p>
    <w:p w14:paraId="203D1883" w14:textId="77777777" w:rsidR="0056444B" w:rsidRPr="00E34476" w:rsidRDefault="0056444B" w:rsidP="0056444B">
      <w:pPr>
        <w:pStyle w:val="Bezriadkovania"/>
        <w:ind w:left="-1134"/>
        <w:rPr>
          <w:rFonts w:cstheme="minorHAnsi"/>
          <w:b/>
          <w:bCs/>
        </w:rPr>
      </w:pPr>
      <w:r w:rsidRPr="00E34476">
        <w:rPr>
          <w:rFonts w:cstheme="minorHAnsi"/>
          <w:b/>
          <w:bCs/>
        </w:rPr>
        <w:t>Časová snímka plnenia hodnotiacich kritérií pri podaní žiadosti po 30.6.2022:</w:t>
      </w:r>
    </w:p>
    <w:p w14:paraId="62E227AA" w14:textId="77777777" w:rsidR="0056444B" w:rsidRPr="00E34476" w:rsidRDefault="0056444B" w:rsidP="0056444B">
      <w:pPr>
        <w:pStyle w:val="Bezriadkovania"/>
        <w:ind w:left="-1134"/>
        <w:rPr>
          <w:rFonts w:cstheme="minorHAnsi"/>
        </w:rPr>
      </w:pPr>
    </w:p>
    <w:tbl>
      <w:tblPr>
        <w:tblStyle w:val="Mriekatabuky"/>
        <w:tblW w:w="14454" w:type="dxa"/>
        <w:tblInd w:w="-998" w:type="dxa"/>
        <w:tblLook w:val="04A0" w:firstRow="1" w:lastRow="0" w:firstColumn="1" w:lastColumn="0" w:noHBand="0" w:noVBand="1"/>
      </w:tblPr>
      <w:tblGrid>
        <w:gridCol w:w="4531"/>
        <w:gridCol w:w="6379"/>
        <w:gridCol w:w="3544"/>
      </w:tblGrid>
      <w:tr w:rsidR="0056444B" w:rsidRPr="00E34476" w14:paraId="41CD7892" w14:textId="77777777" w:rsidTr="004F0B3A">
        <w:tc>
          <w:tcPr>
            <w:tcW w:w="4531" w:type="dxa"/>
            <w:vAlign w:val="center"/>
          </w:tcPr>
          <w:p w14:paraId="191888F1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E34476">
              <w:rPr>
                <w:rFonts w:cstheme="minorHAnsi"/>
                <w:b/>
                <w:bCs/>
              </w:rPr>
              <w:t>Stupeň plnenia hodnotiacich kritérií pre NVC</w:t>
            </w:r>
          </w:p>
        </w:tc>
        <w:tc>
          <w:tcPr>
            <w:tcW w:w="6379" w:type="dxa"/>
            <w:vAlign w:val="center"/>
          </w:tcPr>
          <w:p w14:paraId="5D4A3368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E34476">
              <w:rPr>
                <w:rFonts w:cstheme="minorHAnsi"/>
                <w:b/>
                <w:bCs/>
              </w:rPr>
              <w:t>Obdobie plnenia hodnotiacich kritérií</w:t>
            </w:r>
          </w:p>
        </w:tc>
        <w:tc>
          <w:tcPr>
            <w:tcW w:w="3544" w:type="dxa"/>
            <w:vAlign w:val="center"/>
          </w:tcPr>
          <w:p w14:paraId="02A2FCEB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  <w:b/>
                <w:bCs/>
              </w:rPr>
            </w:pPr>
            <w:r w:rsidRPr="00E34476">
              <w:rPr>
                <w:rFonts w:cstheme="minorHAnsi"/>
                <w:b/>
                <w:bCs/>
              </w:rPr>
              <w:t>Požadovaný celkový počet bodov v rámci priebežného hodnotenia progresu NVC v plnení hodnotiacich kritérií pre certifikát NVC s platnosťou 3 roky/počet bodov pre vyhovujúci stav pre certifikát NVC s platnosťou 7 rokov</w:t>
            </w:r>
          </w:p>
        </w:tc>
      </w:tr>
      <w:tr w:rsidR="0056444B" w:rsidRPr="00E34476" w14:paraId="7A6811C6" w14:textId="77777777" w:rsidTr="004F0B3A">
        <w:tc>
          <w:tcPr>
            <w:tcW w:w="4531" w:type="dxa"/>
            <w:shd w:val="clear" w:color="auto" w:fill="FFFF00"/>
          </w:tcPr>
          <w:p w14:paraId="02975189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Vstupný štandard</w:t>
            </w:r>
          </w:p>
        </w:tc>
        <w:tc>
          <w:tcPr>
            <w:tcW w:w="6379" w:type="dxa"/>
            <w:shd w:val="clear" w:color="auto" w:fill="FFFF00"/>
          </w:tcPr>
          <w:p w14:paraId="021FACBF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Rozhodovanie o používaní označenia NVC.</w:t>
            </w:r>
          </w:p>
        </w:tc>
        <w:tc>
          <w:tcPr>
            <w:tcW w:w="3544" w:type="dxa"/>
            <w:shd w:val="clear" w:color="auto" w:fill="FFFF00"/>
          </w:tcPr>
          <w:p w14:paraId="1432C2CE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22</w:t>
            </w:r>
          </w:p>
        </w:tc>
      </w:tr>
      <w:tr w:rsidR="0056444B" w:rsidRPr="00E34476" w14:paraId="7ADDE6CE" w14:textId="77777777" w:rsidTr="004F0B3A">
        <w:tc>
          <w:tcPr>
            <w:tcW w:w="4531" w:type="dxa"/>
            <w:shd w:val="clear" w:color="auto" w:fill="FFC000"/>
          </w:tcPr>
          <w:p w14:paraId="057ED34F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Progres 1</w:t>
            </w:r>
          </w:p>
        </w:tc>
        <w:tc>
          <w:tcPr>
            <w:tcW w:w="6379" w:type="dxa"/>
            <w:shd w:val="clear" w:color="auto" w:fill="FFC000"/>
          </w:tcPr>
          <w:p w14:paraId="6D7D4135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do konca 1/3 obdobia zostávajúceho do 31.12.2024</w:t>
            </w:r>
          </w:p>
        </w:tc>
        <w:tc>
          <w:tcPr>
            <w:tcW w:w="3544" w:type="dxa"/>
            <w:shd w:val="clear" w:color="auto" w:fill="FFC000"/>
          </w:tcPr>
          <w:p w14:paraId="793B8157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26</w:t>
            </w:r>
          </w:p>
        </w:tc>
      </w:tr>
      <w:tr w:rsidR="0056444B" w:rsidRPr="00E34476" w14:paraId="524DC0C9" w14:textId="77777777" w:rsidTr="004F0B3A">
        <w:tc>
          <w:tcPr>
            <w:tcW w:w="4531" w:type="dxa"/>
            <w:shd w:val="clear" w:color="auto" w:fill="00B0F0"/>
          </w:tcPr>
          <w:p w14:paraId="2DEC64F3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Progres 2</w:t>
            </w:r>
          </w:p>
        </w:tc>
        <w:tc>
          <w:tcPr>
            <w:tcW w:w="6379" w:type="dxa"/>
            <w:shd w:val="clear" w:color="auto" w:fill="00B0F0"/>
          </w:tcPr>
          <w:p w14:paraId="60E97858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do konca 2/3 obdobia zostávajúceho do 31.12.2024</w:t>
            </w:r>
          </w:p>
        </w:tc>
        <w:tc>
          <w:tcPr>
            <w:tcW w:w="3544" w:type="dxa"/>
            <w:shd w:val="clear" w:color="auto" w:fill="00B0F0"/>
          </w:tcPr>
          <w:p w14:paraId="77BABF67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30</w:t>
            </w:r>
          </w:p>
        </w:tc>
      </w:tr>
      <w:tr w:rsidR="0056444B" w:rsidRPr="00E34476" w14:paraId="06BF51E4" w14:textId="77777777" w:rsidTr="004F0B3A">
        <w:tc>
          <w:tcPr>
            <w:tcW w:w="4531" w:type="dxa"/>
            <w:shd w:val="clear" w:color="auto" w:fill="92D050"/>
          </w:tcPr>
          <w:p w14:paraId="0BE9CE4B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Progres 3</w:t>
            </w:r>
          </w:p>
        </w:tc>
        <w:tc>
          <w:tcPr>
            <w:tcW w:w="6379" w:type="dxa"/>
            <w:shd w:val="clear" w:color="auto" w:fill="92D050"/>
          </w:tcPr>
          <w:p w14:paraId="239BBC9C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do konca 3/3 obdobia zostávajúceho do 31.12.2024</w:t>
            </w:r>
          </w:p>
        </w:tc>
        <w:tc>
          <w:tcPr>
            <w:tcW w:w="3544" w:type="dxa"/>
            <w:shd w:val="clear" w:color="auto" w:fill="92D050"/>
          </w:tcPr>
          <w:p w14:paraId="289F6A57" w14:textId="77777777" w:rsidR="0056444B" w:rsidRPr="00E34476" w:rsidRDefault="0056444B" w:rsidP="004F0B3A">
            <w:pPr>
              <w:pStyle w:val="Bezriadkovania"/>
              <w:jc w:val="center"/>
              <w:rPr>
                <w:rFonts w:cstheme="minorHAnsi"/>
              </w:rPr>
            </w:pPr>
            <w:r w:rsidRPr="00E34476">
              <w:rPr>
                <w:rFonts w:cstheme="minorHAnsi"/>
              </w:rPr>
              <w:t>34</w:t>
            </w:r>
          </w:p>
        </w:tc>
      </w:tr>
    </w:tbl>
    <w:p w14:paraId="74B559D6" w14:textId="77777777" w:rsidR="0056444B" w:rsidRPr="00E34476" w:rsidRDefault="0056444B" w:rsidP="0056444B">
      <w:pPr>
        <w:pStyle w:val="Bezriadkovania"/>
        <w:ind w:left="-1134"/>
        <w:rPr>
          <w:rFonts w:cstheme="minorHAnsi"/>
        </w:rPr>
      </w:pPr>
    </w:p>
    <w:p w14:paraId="6C4467EB" w14:textId="77777777" w:rsidR="0056444B" w:rsidRPr="00E34476" w:rsidRDefault="0056444B" w:rsidP="0056444B">
      <w:pPr>
        <w:pStyle w:val="Bezriadkovania"/>
        <w:ind w:left="-993"/>
        <w:rPr>
          <w:rFonts w:cstheme="minorHAnsi"/>
          <w:i/>
          <w:iCs/>
        </w:rPr>
      </w:pPr>
    </w:p>
    <w:p w14:paraId="175381E8" w14:textId="77777777" w:rsidR="0056444B" w:rsidRPr="00E34476" w:rsidRDefault="0056444B" w:rsidP="0056444B">
      <w:pPr>
        <w:pStyle w:val="Bezriadkovania"/>
        <w:ind w:left="-993"/>
        <w:rPr>
          <w:rFonts w:cstheme="minorHAnsi"/>
          <w:i/>
          <w:iCs/>
        </w:rPr>
      </w:pPr>
    </w:p>
    <w:p w14:paraId="79AB6B88" w14:textId="77777777" w:rsidR="0056444B" w:rsidRPr="00E34476" w:rsidRDefault="0056444B" w:rsidP="0056444B">
      <w:pPr>
        <w:pStyle w:val="Bezriadkovania"/>
        <w:ind w:left="-993"/>
        <w:rPr>
          <w:rFonts w:cstheme="minorHAnsi"/>
        </w:rPr>
      </w:pPr>
      <w:r w:rsidRPr="00E34476">
        <w:rPr>
          <w:rFonts w:cstheme="minorHAnsi"/>
          <w:i/>
          <w:iCs/>
        </w:rPr>
        <w:t>Pozn.: Pri hodnotení plnenia očakávaného progresu plnenia kritérií sa sleduje celkové skóre získaných bodov.</w:t>
      </w:r>
    </w:p>
    <w:p w14:paraId="2C464541" w14:textId="77777777" w:rsidR="00B237C8" w:rsidRPr="00E34476" w:rsidRDefault="00B237C8" w:rsidP="0056444B">
      <w:pPr>
        <w:rPr>
          <w:rFonts w:asciiTheme="minorHAnsi" w:hAnsiTheme="minorHAnsi" w:cstheme="minorHAnsi"/>
        </w:rPr>
      </w:pPr>
    </w:p>
    <w:sectPr w:rsidR="00B237C8" w:rsidRPr="00E34476" w:rsidSect="00E34476">
      <w:headerReference w:type="even" r:id="rId9"/>
      <w:headerReference w:type="first" r:id="rId10"/>
      <w:type w:val="continuous"/>
      <w:pgSz w:w="16838" w:h="11906" w:orient="landscape"/>
      <w:pgMar w:top="851" w:right="1135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B7074" w14:textId="77777777" w:rsidR="00103EB7" w:rsidRDefault="00103EB7" w:rsidP="00B73BBD">
      <w:r>
        <w:separator/>
      </w:r>
    </w:p>
  </w:endnote>
  <w:endnote w:type="continuationSeparator" w:id="0">
    <w:p w14:paraId="2413EBC0" w14:textId="77777777" w:rsidR="00103EB7" w:rsidRDefault="00103EB7" w:rsidP="00B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7A5F" w14:textId="20445234" w:rsidR="00936FF2" w:rsidRPr="00BE082E" w:rsidRDefault="00602D58" w:rsidP="00936FF2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018C19B" wp14:editId="45D5C3B9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3A9226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" strokecolor="#333">
              <w10:wrap type="tight" anchory="page"/>
              <w10:anchorlock/>
            </v:line>
          </w:pict>
        </mc:Fallback>
      </mc:AlternateContent>
    </w:r>
    <w:r w:rsidR="00936FF2" w:rsidRPr="00BE082E">
      <w:rPr>
        <w:color w:val="333333"/>
        <w:sz w:val="19"/>
        <w:szCs w:val="19"/>
      </w:rPr>
      <w:t xml:space="preserve">Telefón: 02/50 21 71 11 </w:t>
    </w:r>
    <w:r w:rsidR="006D3A35">
      <w:rPr>
        <w:color w:val="333333"/>
        <w:sz w:val="19"/>
        <w:szCs w:val="19"/>
      </w:rPr>
      <w:t xml:space="preserve">     </w:t>
    </w:r>
    <w:r w:rsidR="00E34476">
      <w:rPr>
        <w:color w:val="333333"/>
        <w:sz w:val="19"/>
        <w:szCs w:val="19"/>
      </w:rPr>
      <w:tab/>
    </w:r>
    <w:r w:rsidR="00936FF2" w:rsidRPr="00BE082E">
      <w:rPr>
        <w:color w:val="333333"/>
        <w:sz w:val="19"/>
        <w:szCs w:val="19"/>
      </w:rPr>
      <w:t xml:space="preserve"> </w:t>
    </w:r>
    <w:r w:rsidR="00936FF2" w:rsidRPr="00BE082E">
      <w:rPr>
        <w:color w:val="333333"/>
        <w:sz w:val="19"/>
        <w:szCs w:val="19"/>
      </w:rPr>
      <w:tab/>
      <w:t xml:space="preserve">IČO: 31826253 </w:t>
    </w:r>
    <w:r w:rsidR="00936FF2" w:rsidRPr="00BE082E">
      <w:rPr>
        <w:color w:val="333333"/>
        <w:sz w:val="19"/>
        <w:szCs w:val="19"/>
      </w:rPr>
      <w:tab/>
    </w:r>
    <w:r w:rsidR="00E34476">
      <w:rPr>
        <w:color w:val="333333"/>
        <w:sz w:val="19"/>
        <w:szCs w:val="19"/>
      </w:rPr>
      <w:tab/>
    </w:r>
    <w:r w:rsidR="00936FF2" w:rsidRPr="00BE082E">
      <w:rPr>
        <w:color w:val="333333"/>
        <w:sz w:val="19"/>
        <w:szCs w:val="19"/>
      </w:rPr>
      <w:t>E-mail:</w:t>
    </w:r>
    <w:r w:rsidR="006D3A35">
      <w:rPr>
        <w:color w:val="333333"/>
        <w:sz w:val="19"/>
        <w:szCs w:val="19"/>
      </w:rPr>
      <w:t xml:space="preserve"> </w:t>
    </w:r>
    <w:r w:rsidR="00936FF2" w:rsidRPr="00BE082E">
      <w:rPr>
        <w:color w:val="333333"/>
        <w:sz w:val="19"/>
        <w:szCs w:val="19"/>
      </w:rPr>
      <w:t>s</w:t>
    </w:r>
    <w:r w:rsidR="006D3A35">
      <w:rPr>
        <w:color w:val="333333"/>
        <w:sz w:val="19"/>
        <w:szCs w:val="19"/>
      </w:rPr>
      <w:t>ekretariat</w:t>
    </w:r>
    <w:r w:rsidR="00936FF2" w:rsidRPr="00BE082E">
      <w:rPr>
        <w:color w:val="333333"/>
        <w:sz w:val="19"/>
        <w:szCs w:val="19"/>
      </w:rPr>
      <w:t xml:space="preserve">@sppk.sk </w:t>
    </w:r>
    <w:r w:rsidR="00936FF2" w:rsidRPr="00BE082E">
      <w:rPr>
        <w:color w:val="333333"/>
        <w:sz w:val="19"/>
        <w:szCs w:val="19"/>
      </w:rPr>
      <w:tab/>
    </w:r>
    <w:r w:rsidR="00E34476">
      <w:rPr>
        <w:color w:val="333333"/>
        <w:sz w:val="19"/>
        <w:szCs w:val="19"/>
      </w:rPr>
      <w:tab/>
    </w:r>
    <w:r w:rsidR="00E34476">
      <w:rPr>
        <w:color w:val="333333"/>
        <w:sz w:val="19"/>
        <w:szCs w:val="19"/>
      </w:rPr>
      <w:tab/>
    </w:r>
    <w:r w:rsidR="00E34476">
      <w:rPr>
        <w:color w:val="333333"/>
        <w:sz w:val="19"/>
        <w:szCs w:val="19"/>
      </w:rPr>
      <w:tab/>
    </w:r>
    <w:r w:rsidR="00E34476">
      <w:rPr>
        <w:color w:val="333333"/>
        <w:sz w:val="19"/>
        <w:szCs w:val="19"/>
      </w:rPr>
      <w:tab/>
    </w:r>
    <w:r w:rsidR="00936FF2" w:rsidRPr="00BE082E">
      <w:rPr>
        <w:color w:val="333333"/>
        <w:sz w:val="19"/>
        <w:szCs w:val="19"/>
      </w:rPr>
      <w:t>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85A7" w14:textId="77777777" w:rsidR="00103EB7" w:rsidRDefault="00103EB7" w:rsidP="00B73BBD">
      <w:r>
        <w:separator/>
      </w:r>
    </w:p>
  </w:footnote>
  <w:footnote w:type="continuationSeparator" w:id="0">
    <w:p w14:paraId="0E597A3C" w14:textId="77777777" w:rsidR="00103EB7" w:rsidRDefault="00103EB7" w:rsidP="00B7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5D1A9" w14:textId="65811767" w:rsidR="00936FF2" w:rsidRDefault="00602D58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487506BE" wp14:editId="3FB6DE75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D489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C908E6D" wp14:editId="6A23D6DD">
              <wp:simplePos x="0" y="0"/>
              <wp:positionH relativeFrom="page">
                <wp:posOffset>6685280</wp:posOffset>
              </wp:positionH>
              <wp:positionV relativeFrom="page">
                <wp:posOffset>426720</wp:posOffset>
              </wp:positionV>
              <wp:extent cx="3200400" cy="922655"/>
              <wp:effectExtent l="0" t="0" r="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E09F8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390141BE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08E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4pt;margin-top:33.6pt;width:252pt;height:72.6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" filled="f" stroked="f">
              <v:textbox inset="0,0,0,0">
                <w:txbxContent>
                  <w:p w14:paraId="1AEE09F8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390141BE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60B4B88C" wp14:editId="258F74B3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0" b="0"/>
          <wp:wrapNone/>
          <wp:docPr id="71" name="Obrázok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269D" w14:textId="43B2B4F1" w:rsidR="004E67BF" w:rsidRDefault="003434F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7FA5" w14:textId="6D7F321F" w:rsidR="00DE1879" w:rsidRPr="00DE1879" w:rsidRDefault="003434FD" w:rsidP="00DE1879">
    <w:pPr>
      <w:pStyle w:val="Hlavika"/>
      <w:pBdr>
        <w:bottom w:val="single" w:sz="4" w:space="1" w:color="auto"/>
      </w:pBdr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815"/>
    <w:multiLevelType w:val="hybridMultilevel"/>
    <w:tmpl w:val="E22E8A3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0169F"/>
    <w:multiLevelType w:val="hybridMultilevel"/>
    <w:tmpl w:val="0E7E52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838A7"/>
    <w:multiLevelType w:val="hybridMultilevel"/>
    <w:tmpl w:val="50681C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D760B"/>
    <w:multiLevelType w:val="hybridMultilevel"/>
    <w:tmpl w:val="9AD8D028"/>
    <w:lvl w:ilvl="0" w:tplc="D97278F0">
      <w:start w:val="1"/>
      <w:numFmt w:val="bullet"/>
      <w:lvlText w:val="-"/>
      <w:lvlJc w:val="left"/>
      <w:pPr>
        <w:ind w:left="734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 w15:restartNumberingAfterBreak="0">
    <w:nsid w:val="67A75113"/>
    <w:multiLevelType w:val="hybridMultilevel"/>
    <w:tmpl w:val="FE7C9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71D1E"/>
    <w:multiLevelType w:val="hybridMultilevel"/>
    <w:tmpl w:val="0E7E52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865209">
    <w:abstractNumId w:val="2"/>
  </w:num>
  <w:num w:numId="2" w16cid:durableId="1790078118">
    <w:abstractNumId w:val="5"/>
  </w:num>
  <w:num w:numId="3" w16cid:durableId="1544055385">
    <w:abstractNumId w:val="0"/>
  </w:num>
  <w:num w:numId="4" w16cid:durableId="474298059">
    <w:abstractNumId w:val="1"/>
  </w:num>
  <w:num w:numId="5" w16cid:durableId="1025786434">
    <w:abstractNumId w:val="4"/>
  </w:num>
  <w:num w:numId="6" w16cid:durableId="497232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8"/>
    <w:rsid w:val="00022B36"/>
    <w:rsid w:val="00091BC4"/>
    <w:rsid w:val="000A0507"/>
    <w:rsid w:val="000A75C8"/>
    <w:rsid w:val="00103EB7"/>
    <w:rsid w:val="00115F0C"/>
    <w:rsid w:val="00142C68"/>
    <w:rsid w:val="0018437D"/>
    <w:rsid w:val="001B06D9"/>
    <w:rsid w:val="00237EBC"/>
    <w:rsid w:val="00245F86"/>
    <w:rsid w:val="0029413E"/>
    <w:rsid w:val="002B2D50"/>
    <w:rsid w:val="002F7D5A"/>
    <w:rsid w:val="003275B3"/>
    <w:rsid w:val="003434FD"/>
    <w:rsid w:val="003D1C0F"/>
    <w:rsid w:val="003E4B28"/>
    <w:rsid w:val="003E769F"/>
    <w:rsid w:val="00450F5A"/>
    <w:rsid w:val="00503DFB"/>
    <w:rsid w:val="005066AA"/>
    <w:rsid w:val="0052118A"/>
    <w:rsid w:val="0056444B"/>
    <w:rsid w:val="00564DD8"/>
    <w:rsid w:val="005942B7"/>
    <w:rsid w:val="005B3C6D"/>
    <w:rsid w:val="005B77DA"/>
    <w:rsid w:val="00602D58"/>
    <w:rsid w:val="006037E0"/>
    <w:rsid w:val="00657EB4"/>
    <w:rsid w:val="00684E2C"/>
    <w:rsid w:val="006D3A35"/>
    <w:rsid w:val="007B5BF9"/>
    <w:rsid w:val="007B5E56"/>
    <w:rsid w:val="007C5890"/>
    <w:rsid w:val="0080321D"/>
    <w:rsid w:val="00833562"/>
    <w:rsid w:val="00875A86"/>
    <w:rsid w:val="00884416"/>
    <w:rsid w:val="008B57D6"/>
    <w:rsid w:val="00936FF2"/>
    <w:rsid w:val="009650E5"/>
    <w:rsid w:val="00A05BFD"/>
    <w:rsid w:val="00A25B4B"/>
    <w:rsid w:val="00A471D9"/>
    <w:rsid w:val="00A71F3A"/>
    <w:rsid w:val="00A8028A"/>
    <w:rsid w:val="00A95F5F"/>
    <w:rsid w:val="00AA5A12"/>
    <w:rsid w:val="00AD4FDC"/>
    <w:rsid w:val="00B05BB9"/>
    <w:rsid w:val="00B237C8"/>
    <w:rsid w:val="00B341FC"/>
    <w:rsid w:val="00B73BBD"/>
    <w:rsid w:val="00BD3832"/>
    <w:rsid w:val="00BF2A65"/>
    <w:rsid w:val="00C814FB"/>
    <w:rsid w:val="00CD5BE1"/>
    <w:rsid w:val="00DD0E90"/>
    <w:rsid w:val="00DD7208"/>
    <w:rsid w:val="00DF023E"/>
    <w:rsid w:val="00E34476"/>
    <w:rsid w:val="00E573C9"/>
    <w:rsid w:val="00E82A30"/>
    <w:rsid w:val="00F12A97"/>
    <w:rsid w:val="00FC1B69"/>
    <w:rsid w:val="00FD269B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84DC8"/>
  <w15:docId w15:val="{F78D295B-DBEA-4D3E-8D07-62F02AF1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7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066AA"/>
    <w:pPr>
      <w:keepNext/>
      <w:jc w:val="center"/>
      <w:outlineLvl w:val="0"/>
    </w:pPr>
    <w:rPr>
      <w:b/>
      <w:sz w:val="40"/>
      <w:szCs w:val="20"/>
      <w:u w:val="single"/>
    </w:rPr>
  </w:style>
  <w:style w:type="paragraph" w:styleId="Nadpis2">
    <w:name w:val="heading 2"/>
    <w:basedOn w:val="Normlny"/>
    <w:next w:val="Normlny"/>
    <w:link w:val="Nadpis2Char"/>
    <w:qFormat/>
    <w:rsid w:val="00506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06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66AA"/>
    <w:rPr>
      <w:rFonts w:ascii="Times New Roman" w:eastAsia="Times New Roman" w:hAnsi="Times New Roman" w:cs="Times New Roman"/>
      <w:b/>
      <w:sz w:val="40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5066A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066AA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rsid w:val="00B237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237C8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rsid w:val="00B237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237C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23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1D9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5942B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5644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5644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3087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Mňahončák</dc:creator>
  <cp:lastModifiedBy>Henrieta Vrablova</cp:lastModifiedBy>
  <cp:revision>6</cp:revision>
  <cp:lastPrinted>2022-03-07T12:08:00Z</cp:lastPrinted>
  <dcterms:created xsi:type="dcterms:W3CDTF">2022-04-19T07:13:00Z</dcterms:created>
  <dcterms:modified xsi:type="dcterms:W3CDTF">2022-04-25T11:37:00Z</dcterms:modified>
</cp:coreProperties>
</file>