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5F3406" w14:textId="77777777" w:rsidR="001C72A4" w:rsidRPr="00202ED7" w:rsidRDefault="001C72A4" w:rsidP="005E38F1">
      <w:pPr>
        <w:spacing w:after="0" w:line="240" w:lineRule="auto"/>
        <w:ind w:left="720" w:hanging="360"/>
        <w:jc w:val="center"/>
        <w:rPr>
          <w:rFonts w:cstheme="minorHAnsi"/>
          <w:b/>
          <w:bCs/>
          <w:sz w:val="28"/>
          <w:szCs w:val="28"/>
        </w:rPr>
      </w:pPr>
      <w:bookmarkStart w:id="0" w:name="_Hlk67035677"/>
    </w:p>
    <w:p w14:paraId="715B94E1" w14:textId="77777777" w:rsidR="00AE0405" w:rsidRPr="00202ED7" w:rsidRDefault="00AE0405" w:rsidP="005E38F1">
      <w:pPr>
        <w:spacing w:after="0" w:line="240" w:lineRule="auto"/>
        <w:ind w:left="720" w:hanging="360"/>
        <w:jc w:val="center"/>
        <w:rPr>
          <w:rFonts w:cstheme="minorHAnsi"/>
          <w:b/>
          <w:bCs/>
          <w:sz w:val="28"/>
          <w:szCs w:val="28"/>
        </w:rPr>
      </w:pPr>
    </w:p>
    <w:p w14:paraId="616B7F9C" w14:textId="77777777" w:rsidR="001C72A4" w:rsidRPr="00202ED7" w:rsidRDefault="001C72A4" w:rsidP="005E38F1">
      <w:pPr>
        <w:spacing w:after="0" w:line="240" w:lineRule="auto"/>
        <w:ind w:left="720" w:hanging="360"/>
        <w:jc w:val="center"/>
        <w:rPr>
          <w:rFonts w:cstheme="minorHAnsi"/>
          <w:b/>
          <w:bCs/>
          <w:sz w:val="28"/>
          <w:szCs w:val="28"/>
        </w:rPr>
      </w:pPr>
      <w:r w:rsidRPr="00202ED7">
        <w:rPr>
          <w:rFonts w:cstheme="minorHAnsi"/>
          <w:b/>
          <w:bCs/>
          <w:sz w:val="28"/>
          <w:szCs w:val="28"/>
        </w:rPr>
        <w:t xml:space="preserve">Pripomienky </w:t>
      </w:r>
    </w:p>
    <w:p w14:paraId="740B77E2" w14:textId="77777777" w:rsidR="001C72A4" w:rsidRPr="00202ED7" w:rsidRDefault="001C72A4" w:rsidP="005E38F1">
      <w:pPr>
        <w:spacing w:after="0" w:line="240" w:lineRule="auto"/>
        <w:ind w:left="720" w:hanging="360"/>
        <w:jc w:val="center"/>
        <w:rPr>
          <w:rFonts w:cstheme="minorHAnsi"/>
          <w:b/>
          <w:bCs/>
          <w:sz w:val="28"/>
          <w:szCs w:val="28"/>
        </w:rPr>
      </w:pPr>
      <w:r w:rsidRPr="00202ED7">
        <w:rPr>
          <w:rFonts w:cstheme="minorHAnsi"/>
          <w:b/>
          <w:bCs/>
          <w:sz w:val="28"/>
          <w:szCs w:val="28"/>
        </w:rPr>
        <w:t xml:space="preserve">k </w:t>
      </w:r>
      <w:hyperlink r:id="rId7" w:history="1">
        <w:r w:rsidRPr="00202ED7">
          <w:rPr>
            <w:rFonts w:cstheme="minorHAnsi"/>
            <w:b/>
            <w:bCs/>
            <w:sz w:val="28"/>
            <w:szCs w:val="28"/>
          </w:rPr>
          <w:t xml:space="preserve"> Plánu obnovy a odolnosti Slovenskej republiky</w:t>
        </w:r>
      </w:hyperlink>
    </w:p>
    <w:p w14:paraId="77030EBC" w14:textId="77777777" w:rsidR="001C72A4" w:rsidRPr="00202ED7" w:rsidRDefault="001C72A4" w:rsidP="005E38F1">
      <w:pPr>
        <w:spacing w:after="0" w:line="240" w:lineRule="auto"/>
        <w:ind w:left="720" w:hanging="360"/>
        <w:jc w:val="center"/>
        <w:rPr>
          <w:rFonts w:cstheme="minorHAnsi"/>
          <w:b/>
          <w:bCs/>
          <w:sz w:val="28"/>
          <w:szCs w:val="28"/>
        </w:rPr>
      </w:pPr>
    </w:p>
    <w:p w14:paraId="4B594964" w14:textId="77777777" w:rsidR="001C72A4" w:rsidRPr="00202ED7" w:rsidRDefault="001C72A4" w:rsidP="005E38F1">
      <w:pPr>
        <w:spacing w:after="0" w:line="240" w:lineRule="auto"/>
        <w:ind w:left="720" w:hanging="360"/>
        <w:jc w:val="center"/>
        <w:rPr>
          <w:rFonts w:cstheme="minorHAnsi"/>
        </w:rPr>
      </w:pPr>
      <w:r w:rsidRPr="00202ED7">
        <w:rPr>
          <w:rFonts w:cstheme="minorHAnsi"/>
        </w:rPr>
        <w:t>(medzirezortné pripomienkové konanie LP/2021/112)</w:t>
      </w:r>
    </w:p>
    <w:p w14:paraId="3B616E59" w14:textId="77777777" w:rsidR="001C72A4" w:rsidRPr="00202ED7" w:rsidRDefault="001C72A4" w:rsidP="005E38F1">
      <w:pPr>
        <w:pStyle w:val="Odsekzoznamu"/>
        <w:spacing w:after="0" w:line="240" w:lineRule="auto"/>
        <w:jc w:val="both"/>
        <w:rPr>
          <w:rFonts w:cstheme="minorHAnsi"/>
          <w:b/>
          <w:bCs/>
          <w:sz w:val="28"/>
          <w:szCs w:val="28"/>
          <w:shd w:val="clear" w:color="auto" w:fill="FFFFFF"/>
        </w:rPr>
      </w:pPr>
    </w:p>
    <w:p w14:paraId="23D33130" w14:textId="77777777" w:rsidR="00AE0405" w:rsidRPr="00202ED7" w:rsidRDefault="00AE0405" w:rsidP="005E38F1">
      <w:pPr>
        <w:pStyle w:val="Odsekzoznamu"/>
        <w:spacing w:after="0" w:line="240" w:lineRule="auto"/>
        <w:jc w:val="both"/>
        <w:rPr>
          <w:rFonts w:cstheme="minorHAnsi"/>
          <w:b/>
          <w:bCs/>
          <w:sz w:val="28"/>
          <w:szCs w:val="28"/>
          <w:shd w:val="clear" w:color="auto" w:fill="FFFFFF"/>
        </w:rPr>
      </w:pPr>
    </w:p>
    <w:p w14:paraId="7812C4A4" w14:textId="77777777" w:rsidR="001C72A4" w:rsidRPr="00202ED7" w:rsidRDefault="001C72A4" w:rsidP="005E38F1">
      <w:pPr>
        <w:pStyle w:val="Odsekzoznamu"/>
        <w:spacing w:after="0" w:line="240" w:lineRule="auto"/>
        <w:jc w:val="both"/>
        <w:rPr>
          <w:rFonts w:cstheme="minorHAnsi"/>
          <w:b/>
          <w:bCs/>
          <w:sz w:val="26"/>
          <w:szCs w:val="26"/>
          <w:shd w:val="clear" w:color="auto" w:fill="FFFFFF"/>
        </w:rPr>
      </w:pPr>
    </w:p>
    <w:p w14:paraId="030ECF5A" w14:textId="77777777" w:rsidR="00C62BAE" w:rsidRPr="00202ED7" w:rsidRDefault="00C62BAE" w:rsidP="005E38F1">
      <w:pPr>
        <w:pStyle w:val="Odsekzoznamu"/>
        <w:numPr>
          <w:ilvl w:val="0"/>
          <w:numId w:val="29"/>
        </w:numPr>
        <w:spacing w:after="0" w:line="240" w:lineRule="auto"/>
        <w:jc w:val="both"/>
        <w:rPr>
          <w:rFonts w:cstheme="minorHAnsi"/>
          <w:b/>
          <w:bCs/>
          <w:shd w:val="clear" w:color="auto" w:fill="FFFFFF"/>
        </w:rPr>
      </w:pPr>
      <w:r w:rsidRPr="00202ED7">
        <w:rPr>
          <w:rFonts w:cstheme="minorHAnsi"/>
          <w:b/>
          <w:bCs/>
          <w:shd w:val="clear" w:color="auto" w:fill="FFFFFF"/>
        </w:rPr>
        <w:t>Všeobecná pripomienka k</w:t>
      </w:r>
      <w:r w:rsidR="00AE0405" w:rsidRPr="00202ED7">
        <w:rPr>
          <w:rFonts w:cstheme="minorHAnsi"/>
          <w:b/>
          <w:bCs/>
          <w:shd w:val="clear" w:color="auto" w:fill="FFFFFF"/>
        </w:rPr>
        <w:t> </w:t>
      </w:r>
      <w:r w:rsidRPr="00202ED7">
        <w:rPr>
          <w:rFonts w:cstheme="minorHAnsi"/>
          <w:b/>
          <w:bCs/>
          <w:shd w:val="clear" w:color="auto" w:fill="FFFFFF"/>
        </w:rPr>
        <w:t>návrhu</w:t>
      </w:r>
      <w:r w:rsidR="00AE0405" w:rsidRPr="00202ED7">
        <w:rPr>
          <w:rFonts w:cstheme="minorHAnsi"/>
          <w:b/>
          <w:bCs/>
          <w:shd w:val="clear" w:color="auto" w:fill="FFFFFF"/>
        </w:rPr>
        <w:t xml:space="preserve"> - zásadná</w:t>
      </w:r>
    </w:p>
    <w:p w14:paraId="6A356844" w14:textId="77777777" w:rsidR="00C51DCB" w:rsidRPr="00202ED7" w:rsidRDefault="00C51DCB" w:rsidP="005E38F1">
      <w:pPr>
        <w:spacing w:after="0" w:line="240" w:lineRule="auto"/>
        <w:jc w:val="both"/>
        <w:rPr>
          <w:rFonts w:cstheme="minorHAnsi"/>
          <w:b/>
          <w:bCs/>
          <w:shd w:val="clear" w:color="auto" w:fill="FFFFFF"/>
        </w:rPr>
      </w:pPr>
    </w:p>
    <w:p w14:paraId="1DEDD7DE" w14:textId="77777777" w:rsidR="00F11494" w:rsidRPr="00202ED7" w:rsidRDefault="008F5517" w:rsidP="005E38F1">
      <w:pPr>
        <w:spacing w:after="0" w:line="240" w:lineRule="auto"/>
        <w:jc w:val="both"/>
        <w:rPr>
          <w:rFonts w:cstheme="minorHAnsi"/>
          <w:b/>
          <w:bCs/>
          <w:shd w:val="clear" w:color="auto" w:fill="FFFFFF"/>
        </w:rPr>
      </w:pPr>
      <w:r w:rsidRPr="00202ED7">
        <w:rPr>
          <w:rFonts w:cstheme="minorHAnsi"/>
          <w:b/>
          <w:bCs/>
          <w:shd w:val="clear" w:color="auto" w:fill="FFFFFF"/>
        </w:rPr>
        <w:t>Požadujeme zaradiť poľnohospodárstvo a potravinárstvo do Plánu obnovy a odolnosti S</w:t>
      </w:r>
      <w:r w:rsidR="00AE0405" w:rsidRPr="00202ED7">
        <w:rPr>
          <w:rFonts w:cstheme="minorHAnsi"/>
          <w:b/>
          <w:bCs/>
          <w:shd w:val="clear" w:color="auto" w:fill="FFFFFF"/>
        </w:rPr>
        <w:t>lovenskej republiky</w:t>
      </w:r>
      <w:r w:rsidRPr="00202ED7">
        <w:rPr>
          <w:rFonts w:cstheme="minorHAnsi"/>
          <w:b/>
          <w:bCs/>
          <w:shd w:val="clear" w:color="auto" w:fill="FFFFFF"/>
        </w:rPr>
        <w:t xml:space="preserve">.  </w:t>
      </w:r>
      <w:r w:rsidR="00F11494" w:rsidRPr="00202ED7">
        <w:rPr>
          <w:rFonts w:cstheme="minorHAnsi"/>
          <w:b/>
          <w:bCs/>
          <w:shd w:val="clear" w:color="auto" w:fill="FFFFFF"/>
        </w:rPr>
        <w:t>Trváme na tom, že agropotravinárske podporné nástroje v pláne obnovy a odolnosti sú obhájiteľné v kontexte potrieb S</w:t>
      </w:r>
      <w:r w:rsidR="00AE0405" w:rsidRPr="00202ED7">
        <w:rPr>
          <w:rFonts w:cstheme="minorHAnsi"/>
          <w:b/>
          <w:bCs/>
          <w:shd w:val="clear" w:color="auto" w:fill="FFFFFF"/>
        </w:rPr>
        <w:t xml:space="preserve">lovenskej republiky </w:t>
      </w:r>
      <w:r w:rsidR="00F11494" w:rsidRPr="00202ED7">
        <w:rPr>
          <w:rFonts w:cstheme="minorHAnsi"/>
          <w:b/>
          <w:bCs/>
          <w:shd w:val="clear" w:color="auto" w:fill="FFFFFF"/>
        </w:rPr>
        <w:t>a európskych priorít</w:t>
      </w:r>
      <w:r w:rsidR="00AE0405" w:rsidRPr="00202ED7">
        <w:rPr>
          <w:rFonts w:cstheme="minorHAnsi"/>
          <w:b/>
          <w:bCs/>
          <w:shd w:val="clear" w:color="auto" w:fill="FFFFFF"/>
        </w:rPr>
        <w:t xml:space="preserve">. </w:t>
      </w:r>
    </w:p>
    <w:p w14:paraId="487F1DFD" w14:textId="77777777" w:rsidR="00A42334" w:rsidRPr="00202ED7" w:rsidRDefault="00A42334" w:rsidP="005E38F1">
      <w:pPr>
        <w:spacing w:after="0" w:line="240" w:lineRule="auto"/>
        <w:jc w:val="both"/>
        <w:rPr>
          <w:rFonts w:cstheme="minorHAnsi"/>
          <w:shd w:val="clear" w:color="auto" w:fill="FFFFFF"/>
        </w:rPr>
      </w:pPr>
    </w:p>
    <w:p w14:paraId="4FAE518B" w14:textId="77777777" w:rsidR="008F5517" w:rsidRPr="00202ED7" w:rsidRDefault="00A42334" w:rsidP="005E38F1">
      <w:pPr>
        <w:spacing w:after="0" w:line="240" w:lineRule="auto"/>
        <w:jc w:val="both"/>
        <w:rPr>
          <w:rFonts w:cstheme="minorHAnsi"/>
          <w:shd w:val="clear" w:color="auto" w:fill="FFFFFF"/>
        </w:rPr>
      </w:pPr>
      <w:r w:rsidRPr="00202ED7">
        <w:rPr>
          <w:rFonts w:cstheme="minorHAnsi"/>
          <w:shd w:val="clear" w:color="auto" w:fill="FFFFFF"/>
        </w:rPr>
        <w:t xml:space="preserve">Odôvodnenie: </w:t>
      </w:r>
    </w:p>
    <w:p w14:paraId="6D7B2B24" w14:textId="77777777" w:rsidR="00F11494" w:rsidRPr="00202ED7" w:rsidRDefault="00A8577C" w:rsidP="005E38F1">
      <w:pPr>
        <w:spacing w:after="0" w:line="240" w:lineRule="auto"/>
        <w:jc w:val="both"/>
        <w:rPr>
          <w:rFonts w:cstheme="minorHAnsi"/>
          <w:shd w:val="clear" w:color="auto" w:fill="FFFFFF"/>
        </w:rPr>
      </w:pPr>
      <w:r w:rsidRPr="00202ED7">
        <w:rPr>
          <w:rFonts w:cstheme="minorHAnsi"/>
          <w:shd w:val="clear" w:color="auto" w:fill="FFFFFF"/>
        </w:rPr>
        <w:t xml:space="preserve">Plány na podporu obnovy a odolnosti majú byť hlavnými referenčnými dokumentmi o politikách členských štátov orientovaných na budúcnosť. </w:t>
      </w:r>
      <w:r w:rsidRPr="00202ED7">
        <w:rPr>
          <w:rFonts w:cstheme="minorHAnsi"/>
        </w:rPr>
        <w:t xml:space="preserve">Vzhľadom na komplementárnosť so semestrom a s cieľom zefektívniť obsah a počet požadovaných dokumentov boli členské štáty vyzvané na to, aby predložili svoj národný program reforiem a plán na podporu obnovy a odolnosti v jednom ucelenom dokumente. Tento dokument </w:t>
      </w:r>
      <w:r w:rsidR="00777FFB" w:rsidRPr="00202ED7">
        <w:rPr>
          <w:rFonts w:cstheme="minorHAnsi"/>
        </w:rPr>
        <w:t xml:space="preserve">má </w:t>
      </w:r>
      <w:r w:rsidRPr="00202ED7">
        <w:rPr>
          <w:rFonts w:cstheme="minorHAnsi"/>
        </w:rPr>
        <w:t>poskyt</w:t>
      </w:r>
      <w:r w:rsidR="00777FFB" w:rsidRPr="00202ED7">
        <w:rPr>
          <w:rFonts w:cstheme="minorHAnsi"/>
        </w:rPr>
        <w:t>núť</w:t>
      </w:r>
      <w:r w:rsidRPr="00202ED7">
        <w:rPr>
          <w:rFonts w:cstheme="minorHAnsi"/>
        </w:rPr>
        <w:t xml:space="preserve"> prehľad reforiem a investícií, ktoré členský štát v najbližších rokoch uskutoční, v súlade s cieľmi Mechanizmu na podporu obnovy a odolnosti</w:t>
      </w:r>
      <w:r w:rsidRPr="00202ED7">
        <w:rPr>
          <w:rFonts w:cstheme="minorHAnsi"/>
          <w:shd w:val="clear" w:color="auto" w:fill="FFFFFF"/>
        </w:rPr>
        <w:t xml:space="preserve"> (Oznámenie Európskej komisie COM(2020) 575 zo dňa 17.9.2020 - Ročná stratégia udržateľného rastu na rok 2021). </w:t>
      </w:r>
      <w:r w:rsidR="00AF7E4C" w:rsidRPr="00202ED7">
        <w:rPr>
          <w:rFonts w:cstheme="minorHAnsi"/>
          <w:shd w:val="clear" w:color="auto" w:fill="FFFFFF"/>
        </w:rPr>
        <w:t xml:space="preserve"> </w:t>
      </w:r>
    </w:p>
    <w:p w14:paraId="293308A1" w14:textId="77777777" w:rsidR="00CA1F88" w:rsidRPr="00202ED7" w:rsidRDefault="00CA1F88" w:rsidP="005E38F1">
      <w:pPr>
        <w:spacing w:after="0" w:line="240" w:lineRule="auto"/>
        <w:jc w:val="both"/>
        <w:rPr>
          <w:rFonts w:cstheme="minorHAnsi"/>
          <w:shd w:val="clear" w:color="auto" w:fill="FFFFFF"/>
        </w:rPr>
      </w:pPr>
    </w:p>
    <w:p w14:paraId="25DEC867" w14:textId="77777777" w:rsidR="00967F34" w:rsidRPr="00202ED7" w:rsidRDefault="00C62BAE" w:rsidP="005E38F1">
      <w:pPr>
        <w:spacing w:after="0" w:line="240" w:lineRule="auto"/>
        <w:jc w:val="both"/>
        <w:rPr>
          <w:rFonts w:cstheme="minorHAnsi"/>
          <w:shd w:val="clear" w:color="auto" w:fill="FFFFFF"/>
        </w:rPr>
      </w:pPr>
      <w:r w:rsidRPr="00202ED7">
        <w:rPr>
          <w:rFonts w:cstheme="minorHAnsi"/>
          <w:shd w:val="clear" w:color="auto" w:fill="FFFFFF"/>
        </w:rPr>
        <w:t xml:space="preserve">Národný plán obnovy a odolnosti členskej krajiny </w:t>
      </w:r>
      <w:r w:rsidR="00A8577C" w:rsidRPr="00202ED7">
        <w:rPr>
          <w:rFonts w:cstheme="minorHAnsi"/>
          <w:shd w:val="clear" w:color="auto" w:fill="FFFFFF"/>
        </w:rPr>
        <w:t xml:space="preserve">teda </w:t>
      </w:r>
      <w:r w:rsidRPr="00202ED7">
        <w:rPr>
          <w:rFonts w:cstheme="minorHAnsi"/>
          <w:shd w:val="clear" w:color="auto" w:fill="FFFFFF"/>
        </w:rPr>
        <w:t xml:space="preserve">vysiela politický signál a určuje smer pre strednodobé a dlhodobé verejné reformné a finančné intervencie. Práve preto je obsah dôležitým signálom, či </w:t>
      </w:r>
      <w:r w:rsidR="00777FFB" w:rsidRPr="00202ED7">
        <w:rPr>
          <w:rFonts w:cstheme="minorHAnsi"/>
          <w:shd w:val="clear" w:color="auto" w:fill="FFFFFF"/>
        </w:rPr>
        <w:t>štát</w:t>
      </w:r>
      <w:r w:rsidRPr="00202ED7">
        <w:rPr>
          <w:rFonts w:cstheme="minorHAnsi"/>
          <w:shd w:val="clear" w:color="auto" w:fill="FFFFFF"/>
        </w:rPr>
        <w:t xml:space="preserve"> konkrétne odvetvie považuje za významné z hľadiska potrebnej obnovy a budovania odolnosti, pričom výška finančnej alokácie je druhoradá (plán obnovy nezahŕňa len investície, ale aj reformy).</w:t>
      </w:r>
      <w:r w:rsidR="00A8577C" w:rsidRPr="00202ED7">
        <w:rPr>
          <w:rFonts w:cstheme="minorHAnsi"/>
          <w:shd w:val="clear" w:color="auto" w:fill="FFFFFF"/>
        </w:rPr>
        <w:t xml:space="preserve"> </w:t>
      </w:r>
    </w:p>
    <w:p w14:paraId="6EBAEEEF" w14:textId="77777777" w:rsidR="00CA1F88" w:rsidRPr="00202ED7" w:rsidRDefault="00CA1F88" w:rsidP="005E38F1">
      <w:pPr>
        <w:spacing w:after="0" w:line="240" w:lineRule="auto"/>
        <w:jc w:val="both"/>
        <w:rPr>
          <w:rFonts w:cstheme="minorHAnsi"/>
          <w:shd w:val="clear" w:color="auto" w:fill="FFFFFF"/>
        </w:rPr>
      </w:pPr>
    </w:p>
    <w:p w14:paraId="146D26A9" w14:textId="77777777" w:rsidR="00C62BAE" w:rsidRPr="00202ED7" w:rsidRDefault="00C62BAE" w:rsidP="005E38F1">
      <w:pPr>
        <w:spacing w:after="0" w:line="240" w:lineRule="auto"/>
        <w:jc w:val="both"/>
        <w:rPr>
          <w:rFonts w:cstheme="minorHAnsi"/>
          <w:shd w:val="clear" w:color="auto" w:fill="FFFFFF"/>
        </w:rPr>
      </w:pPr>
      <w:r w:rsidRPr="00202ED7">
        <w:rPr>
          <w:rFonts w:cstheme="minorHAnsi"/>
          <w:shd w:val="clear" w:color="auto" w:fill="FFFFFF"/>
        </w:rPr>
        <w:t xml:space="preserve">Z predloženého materiálu vyplýva, že </w:t>
      </w:r>
      <w:r w:rsidR="00AE1972" w:rsidRPr="00202ED7">
        <w:rPr>
          <w:rFonts w:cstheme="minorHAnsi"/>
          <w:shd w:val="clear" w:color="auto" w:fill="FFFFFF"/>
        </w:rPr>
        <w:t>poľnohospodárstvo a potravinárstvo</w:t>
      </w:r>
      <w:r w:rsidRPr="00202ED7">
        <w:rPr>
          <w:rFonts w:cstheme="minorHAnsi"/>
          <w:shd w:val="clear" w:color="auto" w:fill="FFFFFF"/>
        </w:rPr>
        <w:t xml:space="preserve"> nie je prioritou </w:t>
      </w:r>
      <w:r w:rsidR="00A8577C" w:rsidRPr="00202ED7">
        <w:rPr>
          <w:rFonts w:cstheme="minorHAnsi"/>
          <w:shd w:val="clear" w:color="auto" w:fill="FFFFFF"/>
        </w:rPr>
        <w:t>Slovenskej republiky</w:t>
      </w:r>
      <w:r w:rsidR="00F11494" w:rsidRPr="00202ED7">
        <w:rPr>
          <w:rFonts w:cstheme="minorHAnsi"/>
          <w:shd w:val="clear" w:color="auto" w:fill="FFFFFF"/>
        </w:rPr>
        <w:t>,</w:t>
      </w:r>
      <w:r w:rsidR="00A8577C" w:rsidRPr="00202ED7">
        <w:rPr>
          <w:rFonts w:cstheme="minorHAnsi"/>
          <w:shd w:val="clear" w:color="auto" w:fill="FFFFFF"/>
        </w:rPr>
        <w:t xml:space="preserve"> a to a</w:t>
      </w:r>
      <w:r w:rsidRPr="00202ED7">
        <w:rPr>
          <w:rFonts w:cstheme="minorHAnsi"/>
          <w:shd w:val="clear" w:color="auto" w:fill="FFFFFF"/>
        </w:rPr>
        <w:t xml:space="preserve">j </w:t>
      </w:r>
      <w:r w:rsidR="00A8577C" w:rsidRPr="00202ED7">
        <w:rPr>
          <w:rFonts w:cstheme="minorHAnsi"/>
          <w:shd w:val="clear" w:color="auto" w:fill="FFFFFF"/>
        </w:rPr>
        <w:t xml:space="preserve">napriek </w:t>
      </w:r>
      <w:proofErr w:type="spellStart"/>
      <w:r w:rsidR="00A8577C" w:rsidRPr="00202ED7">
        <w:rPr>
          <w:rFonts w:cstheme="minorHAnsi"/>
          <w:shd w:val="clear" w:color="auto" w:fill="FFFFFF"/>
        </w:rPr>
        <w:t>katalyzačnému</w:t>
      </w:r>
      <w:proofErr w:type="spellEnd"/>
      <w:r w:rsidR="00A8577C" w:rsidRPr="00202ED7">
        <w:rPr>
          <w:rFonts w:cstheme="minorHAnsi"/>
          <w:shd w:val="clear" w:color="auto" w:fill="FFFFFF"/>
        </w:rPr>
        <w:t xml:space="preserve"> efektu klimatickej krízy a</w:t>
      </w:r>
      <w:r w:rsidR="006312DE" w:rsidRPr="00202ED7">
        <w:rPr>
          <w:rFonts w:cstheme="minorHAnsi"/>
          <w:shd w:val="clear" w:color="auto" w:fill="FFFFFF"/>
        </w:rPr>
        <w:t> </w:t>
      </w:r>
      <w:proofErr w:type="spellStart"/>
      <w:r w:rsidR="00A8577C" w:rsidRPr="00202ED7">
        <w:rPr>
          <w:rFonts w:cstheme="minorHAnsi"/>
          <w:shd w:val="clear" w:color="auto" w:fill="FFFFFF"/>
        </w:rPr>
        <w:t>koronakrízy</w:t>
      </w:r>
      <w:proofErr w:type="spellEnd"/>
      <w:r w:rsidR="006312DE" w:rsidRPr="00202ED7">
        <w:rPr>
          <w:rFonts w:cstheme="minorHAnsi"/>
          <w:shd w:val="clear" w:color="auto" w:fill="FFFFFF"/>
        </w:rPr>
        <w:t>,</w:t>
      </w:r>
      <w:r w:rsidR="00A8577C" w:rsidRPr="00202ED7">
        <w:rPr>
          <w:rFonts w:cstheme="minorHAnsi"/>
          <w:shd w:val="clear" w:color="auto" w:fill="FFFFFF"/>
        </w:rPr>
        <w:t xml:space="preserve"> a</w:t>
      </w:r>
      <w:r w:rsidR="006312DE" w:rsidRPr="00202ED7">
        <w:rPr>
          <w:rFonts w:cstheme="minorHAnsi"/>
          <w:shd w:val="clear" w:color="auto" w:fill="FFFFFF"/>
        </w:rPr>
        <w:t>ko aj</w:t>
      </w:r>
      <w:r w:rsidR="00A8577C" w:rsidRPr="00202ED7">
        <w:rPr>
          <w:rFonts w:cstheme="minorHAnsi"/>
          <w:shd w:val="clear" w:color="auto" w:fill="FFFFFF"/>
        </w:rPr>
        <w:t> </w:t>
      </w:r>
      <w:r w:rsidRPr="00202ED7">
        <w:rPr>
          <w:rFonts w:cstheme="minorHAnsi"/>
          <w:shd w:val="clear" w:color="auto" w:fill="FFFFFF"/>
        </w:rPr>
        <w:t>programové</w:t>
      </w:r>
      <w:r w:rsidR="00A8577C" w:rsidRPr="00202ED7">
        <w:rPr>
          <w:rFonts w:cstheme="minorHAnsi"/>
          <w:shd w:val="clear" w:color="auto" w:fill="FFFFFF"/>
        </w:rPr>
        <w:t xml:space="preserve">mu </w:t>
      </w:r>
      <w:r w:rsidRPr="00202ED7">
        <w:rPr>
          <w:rFonts w:cstheme="minorHAnsi"/>
          <w:shd w:val="clear" w:color="auto" w:fill="FFFFFF"/>
        </w:rPr>
        <w:t>vyhláseni</w:t>
      </w:r>
      <w:r w:rsidR="00A8577C" w:rsidRPr="00202ED7">
        <w:rPr>
          <w:rFonts w:cstheme="minorHAnsi"/>
          <w:shd w:val="clear" w:color="auto" w:fill="FFFFFF"/>
        </w:rPr>
        <w:t>u</w:t>
      </w:r>
      <w:r w:rsidRPr="00202ED7">
        <w:rPr>
          <w:rFonts w:cstheme="minorHAnsi"/>
          <w:shd w:val="clear" w:color="auto" w:fill="FFFFFF"/>
        </w:rPr>
        <w:t xml:space="preserve"> vlády</w:t>
      </w:r>
      <w:r w:rsidR="00A8577C" w:rsidRPr="00202ED7">
        <w:rPr>
          <w:rFonts w:cstheme="minorHAnsi"/>
          <w:shd w:val="clear" w:color="auto" w:fill="FFFFFF"/>
        </w:rPr>
        <w:t xml:space="preserve">, ktoré </w:t>
      </w:r>
      <w:r w:rsidRPr="00202ED7">
        <w:rPr>
          <w:rFonts w:cstheme="minorHAnsi"/>
          <w:shd w:val="clear" w:color="auto" w:fill="FFFFFF"/>
        </w:rPr>
        <w:t>deklaruje zvýšenie potravinovej sebestačnosti ako strategický záujem štátu</w:t>
      </w:r>
      <w:r w:rsidR="00A8577C" w:rsidRPr="00202ED7">
        <w:rPr>
          <w:rFonts w:cstheme="minorHAnsi"/>
          <w:shd w:val="clear" w:color="auto" w:fill="FFFFFF"/>
        </w:rPr>
        <w:t xml:space="preserve">. </w:t>
      </w:r>
      <w:r w:rsidRPr="00202ED7">
        <w:rPr>
          <w:rFonts w:cstheme="minorHAnsi"/>
          <w:shd w:val="clear" w:color="auto" w:fill="FFFFFF"/>
        </w:rPr>
        <w:t xml:space="preserve"> </w:t>
      </w:r>
    </w:p>
    <w:p w14:paraId="3A70E129" w14:textId="77777777" w:rsidR="00967F34" w:rsidRPr="00202ED7" w:rsidRDefault="00967F34" w:rsidP="005E38F1">
      <w:pPr>
        <w:spacing w:after="0" w:line="240" w:lineRule="auto"/>
        <w:jc w:val="both"/>
        <w:rPr>
          <w:rFonts w:cstheme="minorHAnsi"/>
          <w:shd w:val="clear" w:color="auto" w:fill="FFFFFF"/>
        </w:rPr>
      </w:pPr>
    </w:p>
    <w:p w14:paraId="177AAB7A" w14:textId="77777777" w:rsidR="00DC3FD3" w:rsidRPr="00202ED7" w:rsidRDefault="00A8577C" w:rsidP="005E38F1">
      <w:pPr>
        <w:tabs>
          <w:tab w:val="left" w:pos="284"/>
        </w:tabs>
        <w:spacing w:after="0" w:line="240" w:lineRule="auto"/>
        <w:jc w:val="both"/>
        <w:rPr>
          <w:rFonts w:cstheme="minorHAnsi"/>
          <w:shd w:val="clear" w:color="auto" w:fill="FFFFFF"/>
        </w:rPr>
      </w:pPr>
      <w:r w:rsidRPr="00202ED7">
        <w:rPr>
          <w:rFonts w:cstheme="minorHAnsi"/>
          <w:shd w:val="clear" w:color="auto" w:fill="FFFFFF"/>
        </w:rPr>
        <w:t xml:space="preserve">Pritom viaceré členské štáty </w:t>
      </w:r>
      <w:r w:rsidR="006312DE" w:rsidRPr="00202ED7">
        <w:rPr>
          <w:rFonts w:cstheme="minorHAnsi"/>
          <w:shd w:val="clear" w:color="auto" w:fill="FFFFFF"/>
        </w:rPr>
        <w:t xml:space="preserve">EÚ </w:t>
      </w:r>
      <w:r w:rsidRPr="00202ED7">
        <w:rPr>
          <w:rFonts w:cstheme="minorHAnsi"/>
          <w:shd w:val="clear" w:color="auto" w:fill="FFFFFF"/>
        </w:rPr>
        <w:t>zaradili do svojich plánov obnovy</w:t>
      </w:r>
      <w:r w:rsidR="00327336" w:rsidRPr="00202ED7">
        <w:rPr>
          <w:rFonts w:cstheme="minorHAnsi"/>
          <w:shd w:val="clear" w:color="auto" w:fill="FFFFFF"/>
        </w:rPr>
        <w:t xml:space="preserve"> a odolnosti</w:t>
      </w:r>
      <w:r w:rsidRPr="00202ED7">
        <w:rPr>
          <w:rFonts w:cstheme="minorHAnsi"/>
          <w:shd w:val="clear" w:color="auto" w:fill="FFFFFF"/>
        </w:rPr>
        <w:t xml:space="preserve"> medzi svoje priority aj agropotravinársky priemysel</w:t>
      </w:r>
      <w:r w:rsidR="00EC4700" w:rsidRPr="00202ED7">
        <w:rPr>
          <w:rFonts w:cstheme="minorHAnsi"/>
          <w:shd w:val="clear" w:color="auto" w:fill="FFFFFF"/>
        </w:rPr>
        <w:t xml:space="preserve">, napriek tomu, že žiadna z členských krajín nemá poľnohospodárstvo a potravinárstvo v odporúčaniach európskeho semestra. </w:t>
      </w:r>
      <w:r w:rsidR="006312DE" w:rsidRPr="00202ED7">
        <w:rPr>
          <w:rFonts w:cstheme="minorHAnsi"/>
          <w:shd w:val="clear" w:color="auto" w:fill="FFFFFF"/>
        </w:rPr>
        <w:t xml:space="preserve">Z krajín, ktoré majú dostupné aspoň základné informácie o svojich plánoch obnovy, sa </w:t>
      </w:r>
      <w:proofErr w:type="spellStart"/>
      <w:r w:rsidR="006312DE" w:rsidRPr="00202ED7">
        <w:rPr>
          <w:rFonts w:cstheme="minorHAnsi"/>
          <w:shd w:val="clear" w:color="auto" w:fill="FFFFFF"/>
        </w:rPr>
        <w:t>agropotravinárstvo</w:t>
      </w:r>
      <w:proofErr w:type="spellEnd"/>
      <w:r w:rsidR="006312DE" w:rsidRPr="00202ED7">
        <w:rPr>
          <w:rFonts w:cstheme="minorHAnsi"/>
          <w:shd w:val="clear" w:color="auto" w:fill="FFFFFF"/>
        </w:rPr>
        <w:t xml:space="preserve"> nenachádza len v pláne obnovy Fínska a Nemecka. Podiel poľnohospodárstva a potravinárstva na grantoch plánov obnovy je v prípade členských krajín EÚ</w:t>
      </w:r>
      <w:r w:rsidR="001C70FF" w:rsidRPr="00202ED7">
        <w:rPr>
          <w:rFonts w:cstheme="minorHAnsi"/>
          <w:shd w:val="clear" w:color="auto" w:fill="FFFFFF"/>
        </w:rPr>
        <w:t>, ktoré údaje zverejnili,</w:t>
      </w:r>
      <w:r w:rsidR="006312DE" w:rsidRPr="00202ED7">
        <w:rPr>
          <w:rFonts w:cstheme="minorHAnsi"/>
          <w:shd w:val="clear" w:color="auto" w:fill="FFFFFF"/>
        </w:rPr>
        <w:t xml:space="preserve"> nasledovný: Taliansko 1 %, Francúzsko 1,2 %, Španielsko 1,3 %, Česko 1,9 %, Poľsko 2,5 %, Slovinsko 3,3 %, Bulharsko 7,8 %, Rumunsko 13,1 %, Slovensko 0 % (</w:t>
      </w:r>
      <w:r w:rsidR="00327336" w:rsidRPr="00202ED7">
        <w:rPr>
          <w:rFonts w:cstheme="minorHAnsi"/>
          <w:shd w:val="clear" w:color="auto" w:fill="FFFFFF"/>
        </w:rPr>
        <w:t>pozn.</w:t>
      </w:r>
      <w:r w:rsidR="00B942AB" w:rsidRPr="00202ED7">
        <w:rPr>
          <w:rFonts w:cstheme="minorHAnsi"/>
          <w:shd w:val="clear" w:color="auto" w:fill="FFFFFF"/>
        </w:rPr>
        <w:t xml:space="preserve"> </w:t>
      </w:r>
      <w:r w:rsidR="006312DE" w:rsidRPr="00202ED7">
        <w:rPr>
          <w:rFonts w:cstheme="minorHAnsi"/>
          <w:shd w:val="clear" w:color="auto" w:fill="FFFFFF"/>
        </w:rPr>
        <w:t xml:space="preserve">viaceré ďalšie členské krajiny zverejnili priority svojich plánov, kde figuruje </w:t>
      </w:r>
      <w:proofErr w:type="spellStart"/>
      <w:r w:rsidR="006312DE" w:rsidRPr="00202ED7">
        <w:rPr>
          <w:rFonts w:cstheme="minorHAnsi"/>
          <w:shd w:val="clear" w:color="auto" w:fill="FFFFFF"/>
        </w:rPr>
        <w:t>agropotravinárstvo</w:t>
      </w:r>
      <w:proofErr w:type="spellEnd"/>
      <w:r w:rsidR="006312DE" w:rsidRPr="00202ED7">
        <w:rPr>
          <w:rFonts w:cstheme="minorHAnsi"/>
          <w:shd w:val="clear" w:color="auto" w:fill="FFFFFF"/>
        </w:rPr>
        <w:t>, avšak bez</w:t>
      </w:r>
      <w:r w:rsidR="00327336" w:rsidRPr="00202ED7">
        <w:rPr>
          <w:rFonts w:cstheme="minorHAnsi"/>
          <w:shd w:val="clear" w:color="auto" w:fill="FFFFFF"/>
        </w:rPr>
        <w:t xml:space="preserve"> uvedenia</w:t>
      </w:r>
      <w:r w:rsidR="006312DE" w:rsidRPr="00202ED7">
        <w:rPr>
          <w:rFonts w:cstheme="minorHAnsi"/>
          <w:shd w:val="clear" w:color="auto" w:fill="FFFFFF"/>
        </w:rPr>
        <w:t xml:space="preserve"> alokácie)</w:t>
      </w:r>
      <w:r w:rsidR="00327336" w:rsidRPr="00202ED7">
        <w:rPr>
          <w:rFonts w:cstheme="minorHAnsi"/>
          <w:shd w:val="clear" w:color="auto" w:fill="FFFFFF"/>
        </w:rPr>
        <w:t xml:space="preserve">. </w:t>
      </w:r>
    </w:p>
    <w:p w14:paraId="58112908" w14:textId="77777777" w:rsidR="00B942AB" w:rsidRPr="00202ED7" w:rsidRDefault="00B942AB" w:rsidP="005E38F1">
      <w:pPr>
        <w:tabs>
          <w:tab w:val="left" w:pos="284"/>
        </w:tabs>
        <w:spacing w:after="0" w:line="240" w:lineRule="auto"/>
        <w:jc w:val="both"/>
        <w:rPr>
          <w:rFonts w:cstheme="minorHAnsi"/>
          <w:shd w:val="clear" w:color="auto" w:fill="FFFFFF"/>
        </w:rPr>
      </w:pPr>
      <w:r w:rsidRPr="00202ED7">
        <w:rPr>
          <w:rFonts w:cstheme="minorHAnsi"/>
          <w:shd w:val="clear" w:color="auto" w:fill="FFFFFF"/>
        </w:rPr>
        <w:t xml:space="preserve">Medzi ciele Mechanizmu na podporu obnovy a odolnosti patrí súdržnosť, konvergencia, integrácia hospodárstiev. Podľa Oznámenia Európskej komisie COM(2020) 575 zo dňa 17.9.2020 (Ročná stratégia udržateľného rastu na rok 2021) majú rozdiely v odolnosti v rámci EÚ vplyv na sociálnu, hospodársku a územnú súdržnosť, ako aj na konvergenciu v rámci eurozóny a účinnosť jednotnej menovej politiky. </w:t>
      </w:r>
    </w:p>
    <w:p w14:paraId="255FFD36" w14:textId="77777777" w:rsidR="006312DE" w:rsidRPr="00202ED7" w:rsidRDefault="006312DE" w:rsidP="005E38F1">
      <w:pPr>
        <w:spacing w:after="0" w:line="240" w:lineRule="auto"/>
        <w:jc w:val="both"/>
        <w:rPr>
          <w:rFonts w:cstheme="minorHAnsi"/>
          <w:shd w:val="clear" w:color="auto" w:fill="FFFFFF"/>
        </w:rPr>
      </w:pPr>
      <w:r w:rsidRPr="00202ED7">
        <w:rPr>
          <w:rFonts w:cstheme="minorHAnsi"/>
          <w:shd w:val="clear" w:color="auto" w:fill="FFFFFF"/>
        </w:rPr>
        <w:lastRenderedPageBreak/>
        <w:t xml:space="preserve">Zdroje z plánu obnovy sa tak s najväčšou pravdepodobnosťou stanú faktorom ďalšieho prehĺbenia nerovnováhy na jednotnom trhu – spolu s rozdielnou štátnou pomocou a zaostávaním konvergencie v rámci SPP. </w:t>
      </w:r>
    </w:p>
    <w:p w14:paraId="6E81CA45" w14:textId="77777777" w:rsidR="00967F34" w:rsidRPr="00202ED7" w:rsidRDefault="00967F34" w:rsidP="005E38F1">
      <w:pPr>
        <w:spacing w:after="0" w:line="240" w:lineRule="auto"/>
        <w:jc w:val="both"/>
        <w:rPr>
          <w:rFonts w:cstheme="minorHAnsi"/>
          <w:shd w:val="clear" w:color="auto" w:fill="FFFFFF"/>
        </w:rPr>
      </w:pPr>
    </w:p>
    <w:p w14:paraId="0439A81D" w14:textId="77777777" w:rsidR="00AE0405" w:rsidRPr="00202ED7" w:rsidRDefault="005B2551" w:rsidP="005E38F1">
      <w:pPr>
        <w:spacing w:after="0" w:line="240" w:lineRule="auto"/>
        <w:jc w:val="both"/>
        <w:rPr>
          <w:rFonts w:cstheme="minorHAnsi"/>
          <w:shd w:val="clear" w:color="auto" w:fill="FFFFFF"/>
        </w:rPr>
      </w:pPr>
      <w:r w:rsidRPr="00202ED7">
        <w:rPr>
          <w:rFonts w:cstheme="minorHAnsi"/>
          <w:shd w:val="clear" w:color="auto" w:fill="FFFFFF"/>
        </w:rPr>
        <w:t xml:space="preserve">Mechanizmus EÚ na podporu obnovy a odolnosti je určený </w:t>
      </w:r>
      <w:r w:rsidR="00E00B83" w:rsidRPr="00202ED7">
        <w:rPr>
          <w:rFonts w:cstheme="minorHAnsi"/>
          <w:shd w:val="clear" w:color="auto" w:fill="FFFFFF"/>
        </w:rPr>
        <w:t xml:space="preserve"> aj </w:t>
      </w:r>
      <w:r w:rsidRPr="00202ED7">
        <w:rPr>
          <w:rFonts w:cstheme="minorHAnsi"/>
          <w:shd w:val="clear" w:color="auto" w:fill="FFFFFF"/>
        </w:rPr>
        <w:t xml:space="preserve">na prekonanie </w:t>
      </w:r>
      <w:proofErr w:type="spellStart"/>
      <w:r w:rsidRPr="00202ED7">
        <w:rPr>
          <w:rFonts w:cstheme="minorHAnsi"/>
          <w:shd w:val="clear" w:color="auto" w:fill="FFFFFF"/>
        </w:rPr>
        <w:t>koronakrízy</w:t>
      </w:r>
      <w:proofErr w:type="spellEnd"/>
      <w:r w:rsidRPr="00202ED7">
        <w:rPr>
          <w:rFonts w:cstheme="minorHAnsi"/>
          <w:shd w:val="clear" w:color="auto" w:fill="FFFFFF"/>
        </w:rPr>
        <w:t xml:space="preserve"> – so súčasnou zmenou stratégie rastu (zelený a digitálny prechod), čo si vyžaduje rozsiahle investície a významné reformy</w:t>
      </w:r>
      <w:r w:rsidR="00CA1F88" w:rsidRPr="00202ED7">
        <w:rPr>
          <w:rFonts w:cstheme="minorHAnsi"/>
          <w:shd w:val="clear" w:color="auto" w:fill="FFFFFF"/>
        </w:rPr>
        <w:t xml:space="preserve"> aj v oblasti </w:t>
      </w:r>
      <w:proofErr w:type="spellStart"/>
      <w:r w:rsidR="00CA1F88" w:rsidRPr="00202ED7">
        <w:rPr>
          <w:rFonts w:cstheme="minorHAnsi"/>
          <w:shd w:val="clear" w:color="auto" w:fill="FFFFFF"/>
        </w:rPr>
        <w:t>agropotravinárstva</w:t>
      </w:r>
      <w:proofErr w:type="spellEnd"/>
      <w:r w:rsidRPr="00202ED7">
        <w:rPr>
          <w:rFonts w:cstheme="minorHAnsi"/>
          <w:shd w:val="clear" w:color="auto" w:fill="FFFFFF"/>
        </w:rPr>
        <w:t xml:space="preserve">. </w:t>
      </w:r>
    </w:p>
    <w:p w14:paraId="32F31B81" w14:textId="77777777" w:rsidR="00AE0405" w:rsidRPr="00202ED7" w:rsidRDefault="00AE0405" w:rsidP="005E38F1">
      <w:pPr>
        <w:spacing w:after="0" w:line="240" w:lineRule="auto"/>
        <w:jc w:val="both"/>
        <w:rPr>
          <w:rFonts w:cstheme="minorHAnsi"/>
          <w:shd w:val="clear" w:color="auto" w:fill="FFFFFF"/>
        </w:rPr>
      </w:pPr>
    </w:p>
    <w:p w14:paraId="3372FBD5" w14:textId="77777777" w:rsidR="00AE0405" w:rsidRPr="00202ED7" w:rsidRDefault="005B2551" w:rsidP="005E38F1">
      <w:pPr>
        <w:spacing w:after="0" w:line="240" w:lineRule="auto"/>
        <w:jc w:val="both"/>
        <w:rPr>
          <w:rFonts w:cstheme="minorHAnsi"/>
          <w:shd w:val="clear" w:color="auto" w:fill="FFFFFF"/>
        </w:rPr>
      </w:pPr>
      <w:r w:rsidRPr="00202ED7">
        <w:rPr>
          <w:rFonts w:cstheme="minorHAnsi"/>
          <w:shd w:val="clear" w:color="auto" w:fill="FFFFFF"/>
        </w:rPr>
        <w:t>Na Slovensku</w:t>
      </w:r>
      <w:r w:rsidR="00CA1F88" w:rsidRPr="00202ED7">
        <w:rPr>
          <w:rFonts w:cstheme="minorHAnsi"/>
          <w:shd w:val="clear" w:color="auto" w:fill="FFFFFF"/>
        </w:rPr>
        <w:t xml:space="preserve"> </w:t>
      </w:r>
      <w:r w:rsidRPr="00202ED7">
        <w:rPr>
          <w:rFonts w:cstheme="minorHAnsi"/>
          <w:shd w:val="clear" w:color="auto" w:fill="FFFFFF"/>
        </w:rPr>
        <w:t xml:space="preserve">nebolo poľnohospodárstvo a potravinárstvo podporené zvláštnou </w:t>
      </w:r>
      <w:proofErr w:type="spellStart"/>
      <w:r w:rsidRPr="00202ED7">
        <w:rPr>
          <w:rFonts w:cstheme="minorHAnsi"/>
          <w:shd w:val="clear" w:color="auto" w:fill="FFFFFF"/>
        </w:rPr>
        <w:t>pandemickou</w:t>
      </w:r>
      <w:proofErr w:type="spellEnd"/>
      <w:r w:rsidRPr="00202ED7">
        <w:rPr>
          <w:rFonts w:cstheme="minorHAnsi"/>
          <w:shd w:val="clear" w:color="auto" w:fill="FFFFFF"/>
        </w:rPr>
        <w:t xml:space="preserve"> podporou a následky pandémie sa v sektore nebudú riešiť ani prostredníctvom plánu obnovy, teda finančných prostriedkov primárne na to vyčlenených.</w:t>
      </w:r>
      <w:r w:rsidR="00E00B83" w:rsidRPr="00202ED7">
        <w:rPr>
          <w:rFonts w:cstheme="minorHAnsi"/>
          <w:shd w:val="clear" w:color="auto" w:fill="FFFFFF"/>
        </w:rPr>
        <w:t xml:space="preserve"> </w:t>
      </w:r>
    </w:p>
    <w:p w14:paraId="5D33D74B" w14:textId="77777777" w:rsidR="00A66CB0" w:rsidRPr="00202ED7" w:rsidRDefault="00A66CB0" w:rsidP="005E38F1">
      <w:pPr>
        <w:spacing w:after="0" w:line="240" w:lineRule="auto"/>
        <w:jc w:val="both"/>
        <w:rPr>
          <w:rFonts w:cstheme="minorHAnsi"/>
          <w:shd w:val="clear" w:color="auto" w:fill="FFFFFF"/>
        </w:rPr>
      </w:pPr>
    </w:p>
    <w:p w14:paraId="28D74BF0" w14:textId="77777777" w:rsidR="00C43FC3" w:rsidRPr="00202ED7" w:rsidRDefault="00E00B83" w:rsidP="005E38F1">
      <w:pPr>
        <w:spacing w:after="0" w:line="240" w:lineRule="auto"/>
        <w:jc w:val="both"/>
        <w:rPr>
          <w:rFonts w:cstheme="minorHAnsi"/>
          <w:shd w:val="clear" w:color="auto" w:fill="FFFFFF"/>
        </w:rPr>
      </w:pPr>
      <w:r w:rsidRPr="00202ED7">
        <w:rPr>
          <w:rFonts w:cstheme="minorHAnsi"/>
          <w:shd w:val="clear" w:color="auto" w:fill="FFFFFF"/>
        </w:rPr>
        <w:t>P</w:t>
      </w:r>
      <w:r w:rsidR="005B2551" w:rsidRPr="00202ED7">
        <w:rPr>
          <w:rFonts w:cstheme="minorHAnsi"/>
          <w:shd w:val="clear" w:color="auto" w:fill="FFFFFF"/>
        </w:rPr>
        <w:t>otravinová bezpečnosť je</w:t>
      </w:r>
      <w:r w:rsidRPr="00202ED7">
        <w:rPr>
          <w:rFonts w:cstheme="minorHAnsi"/>
          <w:shd w:val="clear" w:color="auto" w:fill="FFFFFF"/>
        </w:rPr>
        <w:t xml:space="preserve"> pritom</w:t>
      </w:r>
      <w:r w:rsidR="005B2551" w:rsidRPr="00202ED7">
        <w:rPr>
          <w:rFonts w:cstheme="minorHAnsi"/>
          <w:shd w:val="clear" w:color="auto" w:fill="FFFFFF"/>
        </w:rPr>
        <w:t xml:space="preserve"> jednou z priorít Európskej komisie (</w:t>
      </w:r>
      <w:hyperlink r:id="rId8" w:history="1">
        <w:r w:rsidR="005B2551" w:rsidRPr="00202ED7">
          <w:rPr>
            <w:rFonts w:cstheme="minorHAnsi"/>
          </w:rPr>
          <w:t>https://ec.europa.eu/info/food-farming-fisheries/farming/coronavirus-response_en</w:t>
        </w:r>
      </w:hyperlink>
      <w:r w:rsidR="005B2551" w:rsidRPr="00202ED7">
        <w:rPr>
          <w:rFonts w:cstheme="minorHAnsi"/>
          <w:shd w:val="clear" w:color="auto" w:fill="FFFFFF"/>
        </w:rPr>
        <w:t xml:space="preserve">) – zvlášť v kontexte ohrozenia pandémiou. </w:t>
      </w:r>
    </w:p>
    <w:p w14:paraId="6688FB0B" w14:textId="77777777" w:rsidR="00F11494" w:rsidRPr="00202ED7" w:rsidRDefault="00F11494" w:rsidP="005E38F1">
      <w:pPr>
        <w:spacing w:after="0" w:line="240" w:lineRule="auto"/>
        <w:jc w:val="both"/>
        <w:rPr>
          <w:rFonts w:cstheme="minorHAnsi"/>
        </w:rPr>
      </w:pPr>
      <w:r w:rsidRPr="00202ED7">
        <w:rPr>
          <w:rFonts w:cstheme="minorHAnsi"/>
          <w:shd w:val="clear" w:color="auto" w:fill="FFFFFF"/>
        </w:rPr>
        <w:t xml:space="preserve">Rovnako aj Programové vyhlásenie vlády SR deklaruje zvýšenie potravinovej sebestačnosti ako strategický záujem štátu a deklaruje záujem o </w:t>
      </w:r>
      <w:r w:rsidRPr="00202ED7">
        <w:rPr>
          <w:rFonts w:cstheme="minorHAnsi"/>
        </w:rPr>
        <w:t xml:space="preserve">upevnenie postavenia slovenských potravinárov a </w:t>
      </w:r>
      <w:r w:rsidR="00AE0405" w:rsidRPr="00202ED7">
        <w:rPr>
          <w:rFonts w:cstheme="minorHAnsi"/>
        </w:rPr>
        <w:t>poľnohospodárov</w:t>
      </w:r>
      <w:r w:rsidRPr="00202ED7">
        <w:rPr>
          <w:rFonts w:cstheme="minorHAnsi"/>
        </w:rPr>
        <w:t xml:space="preserve"> pomocou investícií z európskych a národných zdrojov tak, aby sa zabezpečilo prednostné spracovanie na Slovensku vyprodukovaných poľnohospodárskych surovín na potraviny. </w:t>
      </w:r>
    </w:p>
    <w:p w14:paraId="3013D26D" w14:textId="77777777" w:rsidR="00F11494" w:rsidRPr="00202ED7" w:rsidRDefault="00F11494" w:rsidP="005E38F1">
      <w:pPr>
        <w:spacing w:after="0" w:line="240" w:lineRule="auto"/>
        <w:jc w:val="both"/>
        <w:rPr>
          <w:rFonts w:cstheme="minorHAnsi"/>
          <w:b/>
          <w:bCs/>
          <w:shd w:val="clear" w:color="auto" w:fill="FFFFFF"/>
        </w:rPr>
      </w:pPr>
    </w:p>
    <w:p w14:paraId="037C7BFD" w14:textId="77777777" w:rsidR="00E00B83" w:rsidRPr="00202ED7" w:rsidRDefault="00E00B83" w:rsidP="005E38F1">
      <w:pPr>
        <w:spacing w:after="0" w:line="240" w:lineRule="auto"/>
        <w:jc w:val="both"/>
        <w:rPr>
          <w:rFonts w:cstheme="minorHAnsi"/>
          <w:shd w:val="clear" w:color="auto" w:fill="FFFFFF"/>
        </w:rPr>
      </w:pPr>
      <w:r w:rsidRPr="00202ED7">
        <w:rPr>
          <w:rFonts w:cstheme="minorHAnsi"/>
          <w:shd w:val="clear" w:color="auto" w:fill="FFFFFF"/>
        </w:rPr>
        <w:t xml:space="preserve">Dovoľujeme si preto opätovne namietať, že medzi priority predloženého Plánu obnovy a odolnosti Slovenskej republiky nie je zaradené poľnohospodárstvo a potravinárstvo. </w:t>
      </w:r>
      <w:r w:rsidR="00F81E49" w:rsidRPr="00202ED7">
        <w:rPr>
          <w:rFonts w:cstheme="minorHAnsi"/>
          <w:shd w:val="clear" w:color="auto" w:fill="FFFFFF"/>
        </w:rPr>
        <w:t>Mame za to, že a</w:t>
      </w:r>
      <w:r w:rsidRPr="00202ED7">
        <w:rPr>
          <w:rFonts w:cstheme="minorHAnsi"/>
          <w:shd w:val="clear" w:color="auto" w:fill="FFFFFF"/>
        </w:rPr>
        <w:t>gropotravinárske</w:t>
      </w:r>
      <w:r w:rsidR="00F81E49" w:rsidRPr="00202ED7">
        <w:rPr>
          <w:rFonts w:cstheme="minorHAnsi"/>
          <w:shd w:val="clear" w:color="auto" w:fill="FFFFFF"/>
        </w:rPr>
        <w:t xml:space="preserve"> podporné</w:t>
      </w:r>
      <w:r w:rsidRPr="00202ED7">
        <w:rPr>
          <w:rFonts w:cstheme="minorHAnsi"/>
          <w:shd w:val="clear" w:color="auto" w:fill="FFFFFF"/>
        </w:rPr>
        <w:t xml:space="preserve"> nástroje</w:t>
      </w:r>
      <w:r w:rsidR="00F81E49" w:rsidRPr="00202ED7">
        <w:rPr>
          <w:rFonts w:cstheme="minorHAnsi"/>
          <w:shd w:val="clear" w:color="auto" w:fill="FFFFFF"/>
        </w:rPr>
        <w:t xml:space="preserve"> v pláne obnovy a odolnosti </w:t>
      </w:r>
      <w:r w:rsidRPr="00202ED7">
        <w:rPr>
          <w:rFonts w:cstheme="minorHAnsi"/>
          <w:shd w:val="clear" w:color="auto" w:fill="FFFFFF"/>
        </w:rPr>
        <w:t xml:space="preserve"> sa dali obhájiť v kontexte potrieb S</w:t>
      </w:r>
      <w:r w:rsidR="00AE1972" w:rsidRPr="00202ED7">
        <w:rPr>
          <w:rFonts w:cstheme="minorHAnsi"/>
          <w:shd w:val="clear" w:color="auto" w:fill="FFFFFF"/>
        </w:rPr>
        <w:t xml:space="preserve">lovenskej republiky </w:t>
      </w:r>
      <w:r w:rsidRPr="00202ED7">
        <w:rPr>
          <w:rFonts w:cstheme="minorHAnsi"/>
          <w:shd w:val="clear" w:color="auto" w:fill="FFFFFF"/>
        </w:rPr>
        <w:t>a európskych priorít</w:t>
      </w:r>
      <w:r w:rsidR="00F81E49" w:rsidRPr="00202ED7">
        <w:rPr>
          <w:rFonts w:cstheme="minorHAnsi"/>
          <w:shd w:val="clear" w:color="auto" w:fill="FFFFFF"/>
        </w:rPr>
        <w:t>. Príklado</w:t>
      </w:r>
      <w:r w:rsidR="00286587" w:rsidRPr="00202ED7">
        <w:rPr>
          <w:rFonts w:cstheme="minorHAnsi"/>
          <w:shd w:val="clear" w:color="auto" w:fill="FFFFFF"/>
        </w:rPr>
        <w:t>m</w:t>
      </w:r>
      <w:r w:rsidR="00F81E49" w:rsidRPr="00202ED7">
        <w:rPr>
          <w:rFonts w:cstheme="minorHAnsi"/>
          <w:shd w:val="clear" w:color="auto" w:fill="FFFFFF"/>
        </w:rPr>
        <w:t xml:space="preserve"> možno uviesť niekoľko podporných faktorov</w:t>
      </w:r>
      <w:r w:rsidR="00967F34" w:rsidRPr="00202ED7">
        <w:rPr>
          <w:rFonts w:cstheme="minorHAnsi"/>
          <w:shd w:val="clear" w:color="auto" w:fill="FFFFFF"/>
        </w:rPr>
        <w:t>.</w:t>
      </w:r>
    </w:p>
    <w:p w14:paraId="59AD4AF6" w14:textId="77777777" w:rsidR="00967F34" w:rsidRPr="00202ED7" w:rsidRDefault="00967F34" w:rsidP="005E38F1">
      <w:pPr>
        <w:spacing w:after="0" w:line="240" w:lineRule="auto"/>
        <w:jc w:val="both"/>
        <w:rPr>
          <w:rFonts w:cstheme="minorHAnsi"/>
          <w:shd w:val="clear" w:color="auto" w:fill="FFFFFF"/>
        </w:rPr>
      </w:pPr>
    </w:p>
    <w:p w14:paraId="6821A617" w14:textId="77777777" w:rsidR="00967F34" w:rsidRPr="00202ED7" w:rsidRDefault="00E00B83" w:rsidP="005E38F1">
      <w:pPr>
        <w:pStyle w:val="Odsekzoznamu"/>
        <w:numPr>
          <w:ilvl w:val="0"/>
          <w:numId w:val="27"/>
        </w:numPr>
        <w:spacing w:after="0" w:line="240" w:lineRule="auto"/>
        <w:jc w:val="both"/>
        <w:rPr>
          <w:rFonts w:cstheme="minorHAnsi"/>
          <w:i/>
          <w:iCs/>
          <w:shd w:val="clear" w:color="auto" w:fill="FFFFFF"/>
        </w:rPr>
      </w:pPr>
      <w:r w:rsidRPr="00202ED7">
        <w:rPr>
          <w:rFonts w:cstheme="minorHAnsi"/>
          <w:shd w:val="clear" w:color="auto" w:fill="FFFFFF"/>
        </w:rPr>
        <w:t>Oprávnenými prioritami pre budovanie odolnosti a zachovanie produkčného potenciálu krajiny vzhľadom na klimatické zmeny a pandémi</w:t>
      </w:r>
      <w:r w:rsidR="00AE1972" w:rsidRPr="00202ED7">
        <w:rPr>
          <w:rFonts w:cstheme="minorHAnsi"/>
          <w:shd w:val="clear" w:color="auto" w:fill="FFFFFF"/>
        </w:rPr>
        <w:t>e</w:t>
      </w:r>
      <w:r w:rsidRPr="00202ED7">
        <w:rPr>
          <w:rFonts w:cstheme="minorHAnsi"/>
          <w:shd w:val="clear" w:color="auto" w:fill="FFFFFF"/>
        </w:rPr>
        <w:t xml:space="preserve"> (európska priorita) a pre riešenie deficitov slovenského </w:t>
      </w:r>
      <w:proofErr w:type="spellStart"/>
      <w:r w:rsidRPr="00202ED7">
        <w:rPr>
          <w:rFonts w:cstheme="minorHAnsi"/>
          <w:shd w:val="clear" w:color="auto" w:fill="FFFFFF"/>
        </w:rPr>
        <w:t>agropotravinárstva</w:t>
      </w:r>
      <w:proofErr w:type="spellEnd"/>
      <w:r w:rsidRPr="00202ED7">
        <w:rPr>
          <w:rFonts w:cstheme="minorHAnsi"/>
          <w:shd w:val="clear" w:color="auto" w:fill="FFFFFF"/>
        </w:rPr>
        <w:t xml:space="preserve"> (priorita SR) mohli byť napríklad: </w:t>
      </w:r>
      <w:r w:rsidRPr="00202ED7">
        <w:rPr>
          <w:rFonts w:cstheme="minorHAnsi"/>
          <w:i/>
          <w:iCs/>
          <w:shd w:val="clear" w:color="auto" w:fill="FFFFFF"/>
        </w:rPr>
        <w:t>zavlažovacie systémy, odvodňovacie kanály, pozemkové úpravy s </w:t>
      </w:r>
      <w:proofErr w:type="spellStart"/>
      <w:r w:rsidRPr="00202ED7">
        <w:rPr>
          <w:rFonts w:cstheme="minorHAnsi"/>
          <w:i/>
          <w:iCs/>
          <w:shd w:val="clear" w:color="auto" w:fill="FFFFFF"/>
        </w:rPr>
        <w:t>krajinotvorbou</w:t>
      </w:r>
      <w:proofErr w:type="spellEnd"/>
      <w:r w:rsidRPr="00202ED7">
        <w:rPr>
          <w:rFonts w:cstheme="minorHAnsi"/>
          <w:i/>
          <w:iCs/>
          <w:shd w:val="clear" w:color="auto" w:fill="FFFFFF"/>
        </w:rPr>
        <w:t xml:space="preserve">, protierózne opatrenia, zlepšovanie pôdnych vlastností, členenie krajiny, organická hmota v pôde, ale aj spracovateľské odvetvie (ktoré je v rámci SPP podporované len okrajovo), riadenie rizika (resp. odolnosť voči výkyvom počasia), atď. </w:t>
      </w:r>
    </w:p>
    <w:p w14:paraId="6DEDC1AE" w14:textId="77777777" w:rsidR="00967F34" w:rsidRPr="00202ED7" w:rsidRDefault="00E00B83" w:rsidP="005E38F1">
      <w:pPr>
        <w:pStyle w:val="Odsekzoznamu"/>
        <w:numPr>
          <w:ilvl w:val="0"/>
          <w:numId w:val="27"/>
        </w:numPr>
        <w:spacing w:after="0" w:line="240" w:lineRule="auto"/>
        <w:jc w:val="both"/>
        <w:rPr>
          <w:rFonts w:cstheme="minorHAnsi"/>
          <w:i/>
          <w:iCs/>
          <w:shd w:val="clear" w:color="auto" w:fill="FFFFFF"/>
        </w:rPr>
      </w:pPr>
      <w:r w:rsidRPr="00202ED7">
        <w:rPr>
          <w:rFonts w:cstheme="minorHAnsi"/>
          <w:shd w:val="clear" w:color="auto" w:fill="FFFFFF"/>
        </w:rPr>
        <w:t xml:space="preserve">Reformy a investície v </w:t>
      </w:r>
      <w:r w:rsidR="00AE1972" w:rsidRPr="00202ED7">
        <w:rPr>
          <w:rFonts w:cstheme="minorHAnsi"/>
          <w:shd w:val="clear" w:color="auto" w:fill="FFFFFF"/>
        </w:rPr>
        <w:t>p</w:t>
      </w:r>
      <w:r w:rsidRPr="00202ED7">
        <w:rPr>
          <w:rFonts w:cstheme="minorHAnsi"/>
          <w:shd w:val="clear" w:color="auto" w:fill="FFFFFF"/>
        </w:rPr>
        <w:t xml:space="preserve">láne obnovy </w:t>
      </w:r>
      <w:r w:rsidR="00AE1972" w:rsidRPr="00202ED7">
        <w:rPr>
          <w:rFonts w:cstheme="minorHAnsi"/>
          <w:shd w:val="clear" w:color="auto" w:fill="FFFFFF"/>
        </w:rPr>
        <w:t xml:space="preserve">a odolnosti </w:t>
      </w:r>
      <w:r w:rsidRPr="00202ED7">
        <w:rPr>
          <w:rFonts w:cstheme="minorHAnsi"/>
          <w:shd w:val="clear" w:color="auto" w:fill="FFFFFF"/>
        </w:rPr>
        <w:t>majú prispieť k strategickej autonómii a bezpečnosti EÚ (diverzifikácia kľúčových dodávateľských reťazcov a posilnenie strategickej autonómie Únie popri otvorenej ekonomike) (ciele Mechanizmu)</w:t>
      </w:r>
      <w:r w:rsidR="00F81E49" w:rsidRPr="00202ED7">
        <w:rPr>
          <w:rFonts w:cstheme="minorHAnsi"/>
          <w:shd w:val="clear" w:color="auto" w:fill="FFFFFF"/>
        </w:rPr>
        <w:t xml:space="preserve"> - </w:t>
      </w:r>
      <w:r w:rsidRPr="00202ED7">
        <w:rPr>
          <w:rFonts w:cstheme="minorHAnsi"/>
          <w:shd w:val="clear" w:color="auto" w:fill="FFFFFF"/>
        </w:rPr>
        <w:t>produkcia poľnohospodárskych plodín a potravín je faktorom strategickej autonómie EÚ (napr. Francúzsko vo svojom pláne obnovy podporuje produkciu bielkovinových plodín – ako faktor národnej a európskej sebestačnosti a autonómie)</w:t>
      </w:r>
      <w:r w:rsidR="00A66CB0" w:rsidRPr="00202ED7">
        <w:rPr>
          <w:rFonts w:cstheme="minorHAnsi"/>
          <w:shd w:val="clear" w:color="auto" w:fill="FFFFFF"/>
        </w:rPr>
        <w:t>.</w:t>
      </w:r>
    </w:p>
    <w:p w14:paraId="552C1DAE" w14:textId="77777777" w:rsidR="00E00B83" w:rsidRPr="00202ED7" w:rsidRDefault="00E00B83" w:rsidP="005E38F1">
      <w:pPr>
        <w:pStyle w:val="Odsekzoznamu"/>
        <w:numPr>
          <w:ilvl w:val="0"/>
          <w:numId w:val="27"/>
        </w:numPr>
        <w:spacing w:after="0" w:line="240" w:lineRule="auto"/>
        <w:jc w:val="both"/>
        <w:rPr>
          <w:rFonts w:cstheme="minorHAnsi"/>
          <w:i/>
          <w:iCs/>
          <w:shd w:val="clear" w:color="auto" w:fill="FFFFFF"/>
        </w:rPr>
      </w:pPr>
      <w:r w:rsidRPr="00202ED7">
        <w:rPr>
          <w:rFonts w:cstheme="minorHAnsi"/>
          <w:shd w:val="clear" w:color="auto" w:fill="FFFFFF"/>
        </w:rPr>
        <w:t>Európska zelená dohoda ako základ zelenej transformácie:</w:t>
      </w:r>
    </w:p>
    <w:p w14:paraId="187B8497" w14:textId="77777777" w:rsidR="00E00B83" w:rsidRPr="00202ED7" w:rsidRDefault="00967F34" w:rsidP="005E38F1">
      <w:pPr>
        <w:pStyle w:val="Odsekzoznamu"/>
        <w:numPr>
          <w:ilvl w:val="4"/>
          <w:numId w:val="12"/>
        </w:numPr>
        <w:spacing w:after="0" w:line="240" w:lineRule="auto"/>
        <w:ind w:left="993" w:hanging="284"/>
        <w:jc w:val="both"/>
        <w:rPr>
          <w:rFonts w:cstheme="minorHAnsi"/>
        </w:rPr>
      </w:pPr>
      <w:r w:rsidRPr="00202ED7">
        <w:rPr>
          <w:rFonts w:cstheme="minorHAnsi"/>
        </w:rPr>
        <w:t>m</w:t>
      </w:r>
      <w:r w:rsidR="00E00B83" w:rsidRPr="00202ED7">
        <w:rPr>
          <w:rFonts w:cstheme="minorHAnsi"/>
        </w:rPr>
        <w:t>echanizmus na podporu obnovy a odolnosti vychádza z cieľa EÚ dosiahnuť konkurencieschopnú udržateľnosť a súdržnosť prostredníctvom novej stratégie rastu – európskej zelenej dohody</w:t>
      </w:r>
      <w:r w:rsidRPr="00202ED7">
        <w:rPr>
          <w:rFonts w:cstheme="minorHAnsi"/>
        </w:rPr>
        <w:t>;</w:t>
      </w:r>
    </w:p>
    <w:p w14:paraId="559A494E" w14:textId="77777777" w:rsidR="00E00B83" w:rsidRPr="00202ED7" w:rsidRDefault="00967F34" w:rsidP="005E38F1">
      <w:pPr>
        <w:pStyle w:val="Odsekzoznamu"/>
        <w:numPr>
          <w:ilvl w:val="4"/>
          <w:numId w:val="12"/>
        </w:numPr>
        <w:spacing w:after="0" w:line="240" w:lineRule="auto"/>
        <w:ind w:left="993" w:hanging="284"/>
        <w:jc w:val="both"/>
        <w:rPr>
          <w:rFonts w:cstheme="minorHAnsi"/>
        </w:rPr>
      </w:pPr>
      <w:r w:rsidRPr="00202ED7">
        <w:rPr>
          <w:rFonts w:cstheme="minorHAnsi"/>
        </w:rPr>
        <w:t>n</w:t>
      </w:r>
      <w:r w:rsidR="00E00B83" w:rsidRPr="00202ED7">
        <w:rPr>
          <w:rFonts w:cstheme="minorHAnsi"/>
        </w:rPr>
        <w:t>a poľnohospodárov sú v rámci jednotlivých stratégií Európskej zelenej dohody kladené dodatočné nároky (sú v podstate považovaní za hlavných aktérov „zeleného prechodu“). Súčasne nie je nateraz jasné, ako sa budú tieto požiadavky premietať do obchodných dohôd, ktoré EÚ uzatvára – teda ako budú nastavené konkurenčné podmienky v</w:t>
      </w:r>
      <w:r w:rsidRPr="00202ED7">
        <w:rPr>
          <w:rFonts w:cstheme="minorHAnsi"/>
        </w:rPr>
        <w:t> </w:t>
      </w:r>
      <w:r w:rsidR="00E00B83" w:rsidRPr="00202ED7">
        <w:rPr>
          <w:rFonts w:cstheme="minorHAnsi"/>
        </w:rPr>
        <w:t>EÚ</w:t>
      </w:r>
      <w:r w:rsidRPr="00202ED7">
        <w:rPr>
          <w:rFonts w:cstheme="minorHAnsi"/>
        </w:rPr>
        <w:t>;</w:t>
      </w:r>
    </w:p>
    <w:p w14:paraId="1AFB14DF" w14:textId="77777777" w:rsidR="005B2551" w:rsidRPr="00202ED7" w:rsidRDefault="00967F34" w:rsidP="005E38F1">
      <w:pPr>
        <w:pStyle w:val="Odsekzoznamu"/>
        <w:numPr>
          <w:ilvl w:val="4"/>
          <w:numId w:val="12"/>
        </w:numPr>
        <w:spacing w:after="0" w:line="240" w:lineRule="auto"/>
        <w:ind w:left="993" w:hanging="284"/>
        <w:jc w:val="both"/>
        <w:rPr>
          <w:rFonts w:cstheme="minorHAnsi"/>
        </w:rPr>
      </w:pPr>
      <w:r w:rsidRPr="00202ED7">
        <w:rPr>
          <w:rFonts w:cstheme="minorHAnsi"/>
        </w:rPr>
        <w:t>s</w:t>
      </w:r>
      <w:r w:rsidR="00E00B83" w:rsidRPr="00202ED7">
        <w:rPr>
          <w:rFonts w:cstheme="minorHAnsi"/>
        </w:rPr>
        <w:t>lovenskí poľnohospodári a potravinári budú musieť čeliť týmto výzvam a zároveň sú opomenutí v pláne obnovy, ktorého zdroje sú primárne na účel zeleného prechodu určené</w:t>
      </w:r>
      <w:r w:rsidRPr="00202ED7">
        <w:rPr>
          <w:rFonts w:cstheme="minorHAnsi"/>
        </w:rPr>
        <w:t>. B</w:t>
      </w:r>
      <w:r w:rsidR="00E00B83" w:rsidRPr="00202ED7">
        <w:rPr>
          <w:rFonts w:cstheme="minorHAnsi"/>
        </w:rPr>
        <w:t xml:space="preserve">ez primeranej podpory to ovplyvní ich hospodárske a sociálne výsledky v nasledujúcich rokoch a desaťročiach. Rozdiely v odolnosti v rámci EÚ majú vplyv aj na sociálnu, </w:t>
      </w:r>
      <w:r w:rsidR="00E00B83" w:rsidRPr="00202ED7">
        <w:rPr>
          <w:rFonts w:cstheme="minorHAnsi"/>
        </w:rPr>
        <w:lastRenderedPageBreak/>
        <w:t>hospodársku a územnú súdržnosť, ako aj na konvergenciu v rámci eurozóny a účinnosť jednotnej menovej politiky</w:t>
      </w:r>
      <w:r w:rsidR="00E00B83" w:rsidRPr="00202ED7">
        <w:rPr>
          <w:rFonts w:cstheme="minorHAnsi"/>
          <w:b/>
          <w:bCs/>
        </w:rPr>
        <w:t xml:space="preserve"> </w:t>
      </w:r>
      <w:r w:rsidR="00E00B83" w:rsidRPr="00202ED7">
        <w:rPr>
          <w:rFonts w:cstheme="minorHAnsi"/>
        </w:rPr>
        <w:t>(ciele Mechanizmu na podporu obnovy a odolnosti).</w:t>
      </w:r>
    </w:p>
    <w:p w14:paraId="2D5C7931" w14:textId="77777777" w:rsidR="008F5517" w:rsidRPr="00202ED7" w:rsidRDefault="008F5517" w:rsidP="005E38F1">
      <w:pPr>
        <w:pStyle w:val="Odsekzoznamu"/>
        <w:numPr>
          <w:ilvl w:val="0"/>
          <w:numId w:val="27"/>
        </w:numPr>
        <w:spacing w:after="0" w:line="240" w:lineRule="auto"/>
        <w:jc w:val="both"/>
        <w:rPr>
          <w:rFonts w:cstheme="minorHAnsi"/>
        </w:rPr>
      </w:pPr>
      <w:r w:rsidRPr="00202ED7">
        <w:rPr>
          <w:rFonts w:cstheme="minorHAnsi"/>
        </w:rPr>
        <w:t xml:space="preserve">SR má rozsah potrebných investícií do odvetvia potravinárstva (spracovania potravín) zmapovaný. V závere minulého roka si dalo Ministerstvo pôdohospodárstva a rozvoja vidieka SR vypracovať komplexnú informačnú databázu pre účely zefektívnenia potravinárskej výroby. Potravinári potrebujú v rozmedzí 2-5 rokov investovať do svojich podnikov v prepočte na celé odvetvie až 939 miliónov eur. Ide o Investície do technológie výroby, inovatívnych technológií, robotizácie, automatizácie či digitalizácie. V rámci investícií do produktov je potrebné investovať do </w:t>
      </w:r>
      <w:proofErr w:type="spellStart"/>
      <w:r w:rsidRPr="00202ED7">
        <w:rPr>
          <w:rFonts w:cstheme="minorHAnsi"/>
        </w:rPr>
        <w:t>reformulácie</w:t>
      </w:r>
      <w:proofErr w:type="spellEnd"/>
      <w:r w:rsidRPr="00202ED7">
        <w:rPr>
          <w:rFonts w:cstheme="minorHAnsi"/>
        </w:rPr>
        <w:t xml:space="preserve"> potravín, výroby inovatívnych výrobkov, fortifikácie výrobkov, vývoja výrobkov pre ľudí so špeciálnymi výživovými požiadavkami. V rámci energetického hospodárenia je v potravinárstve nevyhnutné investovať do zníženia energetickej náročnosti výroby a obnoviteľných zdrojov energie (napr. solárny ohrev vody, </w:t>
      </w:r>
      <w:proofErr w:type="spellStart"/>
      <w:r w:rsidRPr="00202ED7">
        <w:rPr>
          <w:rFonts w:cstheme="minorHAnsi"/>
        </w:rPr>
        <w:t>fotovoltaická</w:t>
      </w:r>
      <w:proofErr w:type="spellEnd"/>
      <w:r w:rsidRPr="00202ED7">
        <w:rPr>
          <w:rFonts w:cstheme="minorHAnsi"/>
        </w:rPr>
        <w:t xml:space="preserve"> výroba elektrickej energie, či využitie odpadového tepla z bioplynových staníc). Aj v oblasti ochrany životného prostredia je potrebné veľké množstvo investícií, či už do výstavby nových čističiek odpadových vôd, šetrenia vody, ekologizácie obalov, ekologickej likvidácie odpadov, či bezobalového ekologického predaja.</w:t>
      </w:r>
    </w:p>
    <w:p w14:paraId="4FA21FE5" w14:textId="77777777" w:rsidR="008F5517" w:rsidRPr="00202ED7" w:rsidRDefault="008F5517" w:rsidP="005E38F1">
      <w:pPr>
        <w:spacing w:after="0" w:line="240" w:lineRule="auto"/>
        <w:jc w:val="both"/>
        <w:rPr>
          <w:rFonts w:cstheme="minorHAnsi"/>
          <w:shd w:val="clear" w:color="auto" w:fill="FFFFFF"/>
        </w:rPr>
      </w:pPr>
    </w:p>
    <w:p w14:paraId="19AE7EE4" w14:textId="77777777" w:rsidR="002E09DF" w:rsidRPr="00202ED7" w:rsidRDefault="00C51DCB" w:rsidP="005E38F1">
      <w:pPr>
        <w:spacing w:after="0" w:line="240" w:lineRule="auto"/>
        <w:jc w:val="both"/>
        <w:rPr>
          <w:rFonts w:cstheme="minorHAnsi"/>
          <w:shd w:val="clear" w:color="auto" w:fill="FFFFFF"/>
        </w:rPr>
      </w:pPr>
      <w:r w:rsidRPr="00202ED7">
        <w:rPr>
          <w:rFonts w:cstheme="minorHAnsi"/>
          <w:shd w:val="clear" w:color="auto" w:fill="FFFFFF"/>
        </w:rPr>
        <w:t>V súlade so šiestimi piliermi uvedenými v článku 3 nariadenia EÚ, súdržnosťou a synergiami, ktoré vytvárajú, a v kontexte krízy spôsobenej ochorením COVID-19 je všeobecným cieľom mechanizmu podporovať hospodársku, sociálnu a územnú súdržnosť Únie zlepšovaním odolnosti, pripravenosti na krízy, adaptačnej kapacity a rastového potenciálu členských štátov, zmiernením sociálnych a hospodárskych dôsledkov tejto krízy, najmä pre ženy, prispievaním k vykonávaniu Európskeho piliera sociálnych práv, podporou zelenej transformácie, prispievaním k dosiahnutiu cieľov Únie v oblasti klímy do roku 2030 stanovených v článku 2 bode 11 nariadenia (EÚ) 2018/1999 a splnením cieľa klimatickej neutrality EÚ do roku 2050 a digitálnej transformácie, čím sa prispeje k vzostupnej hospodárskej a sociálnej konvergencii, obnove a presadzovaniu udržateľného rastu a integrácii hospodárstiev Únie, posilneniu tvorby kvalitných pracovných miest, ako aj prispením k strategickej autonómii Únie popri otvorenom hospodárstve a vytváraním európskej pridanej hodnoty</w:t>
      </w:r>
      <w:r w:rsidR="000749E2" w:rsidRPr="00202ED7">
        <w:rPr>
          <w:rFonts w:cstheme="minorHAnsi"/>
          <w:shd w:val="clear" w:color="auto" w:fill="FFFFFF"/>
        </w:rPr>
        <w:t xml:space="preserve"> </w:t>
      </w:r>
      <w:r w:rsidRPr="00202ED7">
        <w:rPr>
          <w:rFonts w:cstheme="minorHAnsi"/>
          <w:shd w:val="clear" w:color="auto" w:fill="FFFFFF"/>
        </w:rPr>
        <w:t>(Čl. 4 ods. 1 Nariadenia EÚ 2021/241).</w:t>
      </w:r>
    </w:p>
    <w:p w14:paraId="5646BD7B" w14:textId="77777777" w:rsidR="00AE0405" w:rsidRPr="0045776A" w:rsidRDefault="00AE0405" w:rsidP="005E38F1">
      <w:pPr>
        <w:spacing w:after="0" w:line="240" w:lineRule="auto"/>
        <w:jc w:val="both"/>
        <w:rPr>
          <w:rFonts w:cstheme="minorHAnsi"/>
          <w:bCs/>
          <w:shd w:val="clear" w:color="auto" w:fill="FFFFFF"/>
        </w:rPr>
      </w:pPr>
    </w:p>
    <w:p w14:paraId="72DFEA8D" w14:textId="77777777" w:rsidR="002E09DF" w:rsidRPr="0045776A" w:rsidRDefault="00AE0405" w:rsidP="005E38F1">
      <w:pPr>
        <w:spacing w:after="0" w:line="240" w:lineRule="auto"/>
        <w:jc w:val="both"/>
        <w:rPr>
          <w:rFonts w:cstheme="minorHAnsi"/>
          <w:bCs/>
          <w:shd w:val="clear" w:color="auto" w:fill="E7E6E6" w:themeFill="background2"/>
        </w:rPr>
      </w:pPr>
      <w:r w:rsidRPr="0045776A">
        <w:rPr>
          <w:rFonts w:cstheme="minorHAnsi"/>
          <w:bCs/>
        </w:rPr>
        <w:t>P</w:t>
      </w:r>
      <w:r w:rsidR="002E09DF" w:rsidRPr="0045776A">
        <w:rPr>
          <w:rFonts w:cstheme="minorHAnsi"/>
          <w:bCs/>
        </w:rPr>
        <w:t xml:space="preserve">redložený plán obnovy a odolnosti </w:t>
      </w:r>
      <w:r w:rsidRPr="0045776A">
        <w:rPr>
          <w:rFonts w:cstheme="minorHAnsi"/>
          <w:bCs/>
        </w:rPr>
        <w:t xml:space="preserve">zdá sa </w:t>
      </w:r>
      <w:r w:rsidR="002E09DF" w:rsidRPr="0045776A">
        <w:rPr>
          <w:rFonts w:cstheme="minorHAnsi"/>
          <w:bCs/>
        </w:rPr>
        <w:t>sleduje skôr európske priority ako priority vnútroštátne, s čím je spojených viacero rizík</w:t>
      </w:r>
      <w:r w:rsidR="000749E2" w:rsidRPr="0045776A">
        <w:rPr>
          <w:rFonts w:cstheme="minorHAnsi"/>
          <w:bCs/>
        </w:rPr>
        <w:t>, a to napríklad</w:t>
      </w:r>
      <w:r w:rsidR="002E09DF" w:rsidRPr="0045776A">
        <w:rPr>
          <w:rFonts w:cstheme="minorHAnsi"/>
          <w:bCs/>
        </w:rPr>
        <w:t>:</w:t>
      </w:r>
    </w:p>
    <w:p w14:paraId="13361F62" w14:textId="77777777" w:rsidR="002E09DF" w:rsidRPr="00202ED7" w:rsidRDefault="002E09DF" w:rsidP="005E38F1">
      <w:pPr>
        <w:pStyle w:val="Odsekzoznamu"/>
        <w:numPr>
          <w:ilvl w:val="2"/>
          <w:numId w:val="19"/>
        </w:numPr>
        <w:spacing w:after="0" w:line="240" w:lineRule="auto"/>
        <w:ind w:left="709" w:hanging="283"/>
        <w:contextualSpacing w:val="0"/>
        <w:jc w:val="both"/>
        <w:rPr>
          <w:rFonts w:cstheme="minorHAnsi"/>
          <w:spacing w:val="1"/>
          <w:u w:val="single"/>
          <w:shd w:val="clear" w:color="auto" w:fill="FFFFFF"/>
        </w:rPr>
      </w:pPr>
      <w:bookmarkStart w:id="1" w:name="_Hlk60768826"/>
      <w:r w:rsidRPr="00202ED7">
        <w:rPr>
          <w:rFonts w:cstheme="minorHAnsi"/>
          <w:spacing w:val="1"/>
          <w:shd w:val="clear" w:color="auto" w:fill="FFFFFF"/>
        </w:rPr>
        <w:t xml:space="preserve">zdroje si požičiavame (aj granty sú de </w:t>
      </w:r>
      <w:proofErr w:type="spellStart"/>
      <w:r w:rsidRPr="00202ED7">
        <w:rPr>
          <w:rFonts w:cstheme="minorHAnsi"/>
          <w:spacing w:val="1"/>
          <w:shd w:val="clear" w:color="auto" w:fill="FFFFFF"/>
        </w:rPr>
        <w:t>facto</w:t>
      </w:r>
      <w:proofErr w:type="spellEnd"/>
      <w:r w:rsidRPr="00202ED7">
        <w:rPr>
          <w:rFonts w:cstheme="minorHAnsi"/>
          <w:spacing w:val="1"/>
          <w:shd w:val="clear" w:color="auto" w:fill="FFFFFF"/>
        </w:rPr>
        <w:t xml:space="preserve"> </w:t>
      </w:r>
      <w:r w:rsidR="00451AEF" w:rsidRPr="00202ED7">
        <w:rPr>
          <w:rFonts w:cstheme="minorHAnsi"/>
          <w:spacing w:val="1"/>
          <w:shd w:val="clear" w:color="auto" w:fill="FFFFFF"/>
        </w:rPr>
        <w:t>požičanými zdrojmi</w:t>
      </w:r>
      <w:r w:rsidRPr="00202ED7">
        <w:rPr>
          <w:rFonts w:cstheme="minorHAnsi"/>
          <w:spacing w:val="1"/>
          <w:shd w:val="clear" w:color="auto" w:fill="FFFFFF"/>
        </w:rPr>
        <w:t>, ktoré bude treba splácať</w:t>
      </w:r>
      <w:r w:rsidR="00451AEF" w:rsidRPr="00202ED7">
        <w:rPr>
          <w:rFonts w:cstheme="minorHAnsi"/>
          <w:spacing w:val="1"/>
          <w:shd w:val="clear" w:color="auto" w:fill="FFFFFF"/>
        </w:rPr>
        <w:t>, keďže nové vlastné zdroje EÚ nie sú postačujúce</w:t>
      </w:r>
      <w:r w:rsidRPr="00202ED7">
        <w:rPr>
          <w:rFonts w:cstheme="minorHAnsi"/>
          <w:spacing w:val="1"/>
          <w:shd w:val="clear" w:color="auto" w:fill="FFFFFF"/>
        </w:rPr>
        <w:t xml:space="preserve">) nie </w:t>
      </w:r>
      <w:r w:rsidR="00451AEF" w:rsidRPr="00202ED7">
        <w:rPr>
          <w:rFonts w:cstheme="minorHAnsi"/>
          <w:spacing w:val="1"/>
          <w:shd w:val="clear" w:color="auto" w:fill="FFFFFF"/>
        </w:rPr>
        <w:t xml:space="preserve">primárne na prioritné potreby SR, </w:t>
      </w:r>
      <w:r w:rsidRPr="00202ED7">
        <w:rPr>
          <w:rFonts w:cstheme="minorHAnsi"/>
          <w:spacing w:val="1"/>
          <w:shd w:val="clear" w:color="auto" w:fill="FFFFFF"/>
        </w:rPr>
        <w:t>ale na tzv. európske priority</w:t>
      </w:r>
      <w:bookmarkStart w:id="2" w:name="_Hlk60768842"/>
      <w:r w:rsidR="00451AEF" w:rsidRPr="00202ED7">
        <w:rPr>
          <w:rFonts w:cstheme="minorHAnsi"/>
          <w:spacing w:val="1"/>
          <w:shd w:val="clear" w:color="auto" w:fill="FFFFFF"/>
        </w:rPr>
        <w:t>, ktoré sú skôr p</w:t>
      </w:r>
      <w:r w:rsidRPr="00202ED7">
        <w:rPr>
          <w:rFonts w:cstheme="minorHAnsi"/>
        </w:rPr>
        <w:t>rioritami konkrétnych vyspelých európskych ekonomík (zvlášť „šetrná štvorka“)</w:t>
      </w:r>
      <w:r w:rsidR="00451AEF" w:rsidRPr="00202ED7">
        <w:rPr>
          <w:rFonts w:cstheme="minorHAnsi"/>
        </w:rPr>
        <w:t xml:space="preserve"> – v každom prípade platí, </w:t>
      </w:r>
      <w:r w:rsidR="00451AEF" w:rsidRPr="00202ED7">
        <w:rPr>
          <w:rFonts w:cstheme="minorHAnsi"/>
          <w:spacing w:val="1"/>
          <w:shd w:val="clear" w:color="auto" w:fill="FFFFFF"/>
        </w:rPr>
        <w:t>že každá členská krajina ma iné priority</w:t>
      </w:r>
      <w:r w:rsidRPr="00202ED7">
        <w:rPr>
          <w:rFonts w:cstheme="minorHAnsi"/>
        </w:rPr>
        <w:t>; SR významne zaostáva v konkurencieschopnosti a potrebuje posilniť svoju pozíciu na spoločnom trhu</w:t>
      </w:r>
      <w:r w:rsidR="000B44E2" w:rsidRPr="00202ED7">
        <w:rPr>
          <w:rFonts w:cstheme="minorHAnsi"/>
        </w:rPr>
        <w:t xml:space="preserve"> - to</w:t>
      </w:r>
      <w:bookmarkEnd w:id="2"/>
      <w:r w:rsidR="000B44E2" w:rsidRPr="00202ED7">
        <w:rPr>
          <w:rFonts w:cstheme="minorHAnsi"/>
        </w:rPr>
        <w:t xml:space="preserve"> uvádza aj samotný text plánu obnovy, keď konštatuje, že hlavnou výzvou pre Slovensko je vymaniť sa z pasce stredného príjmu a reštartovať konvergenčný proces;</w:t>
      </w:r>
    </w:p>
    <w:p w14:paraId="1E5EA555" w14:textId="77777777" w:rsidR="003F5799" w:rsidRPr="00202ED7" w:rsidRDefault="003F5799" w:rsidP="005E38F1">
      <w:pPr>
        <w:pStyle w:val="Odsekzoznamu"/>
        <w:numPr>
          <w:ilvl w:val="2"/>
          <w:numId w:val="19"/>
        </w:numPr>
        <w:spacing w:after="0" w:line="240" w:lineRule="auto"/>
        <w:ind w:left="709" w:hanging="283"/>
        <w:contextualSpacing w:val="0"/>
        <w:jc w:val="both"/>
        <w:rPr>
          <w:rFonts w:cstheme="minorHAnsi"/>
          <w:spacing w:val="1"/>
          <w:u w:val="single"/>
          <w:shd w:val="clear" w:color="auto" w:fill="FFFFFF"/>
        </w:rPr>
      </w:pPr>
      <w:r w:rsidRPr="00202ED7">
        <w:rPr>
          <w:rFonts w:cstheme="minorHAnsi"/>
          <w:spacing w:val="1"/>
          <w:shd w:val="clear" w:color="auto" w:fill="FFFFFF"/>
        </w:rPr>
        <w:t>opatrenia v pláne obnovy SR</w:t>
      </w:r>
      <w:r w:rsidR="00FE0FD4" w:rsidRPr="00202ED7">
        <w:rPr>
          <w:rFonts w:cstheme="minorHAnsi"/>
          <w:spacing w:val="1"/>
          <w:shd w:val="clear" w:color="auto" w:fill="FFFFFF"/>
        </w:rPr>
        <w:t xml:space="preserve"> majú prevažne kvalitatívny charakter a </w:t>
      </w:r>
      <w:r w:rsidRPr="00202ED7">
        <w:rPr>
          <w:rFonts w:cstheme="minorHAnsi"/>
          <w:spacing w:val="1"/>
          <w:shd w:val="clear" w:color="auto" w:fill="FFFFFF"/>
        </w:rPr>
        <w:t xml:space="preserve">súvisia s nastavením systému </w:t>
      </w:r>
      <w:r w:rsidR="00FE0FD4" w:rsidRPr="00202ED7">
        <w:rPr>
          <w:rFonts w:cstheme="minorHAnsi"/>
          <w:spacing w:val="1"/>
          <w:shd w:val="clear" w:color="auto" w:fill="FFFFFF"/>
        </w:rPr>
        <w:t>(plány iných členských krajín zahŕňajú aj podporu špecifických národných zručností a znalostí)</w:t>
      </w:r>
      <w:r w:rsidRPr="00202ED7">
        <w:rPr>
          <w:rFonts w:cstheme="minorHAnsi"/>
          <w:spacing w:val="1"/>
          <w:shd w:val="clear" w:color="auto" w:fill="FFFFFF"/>
        </w:rPr>
        <w:t xml:space="preserve">; vzhľadom na skúsenosti SR je otázne efektívne využitie takéhoto druhu opatrení (napr. na digitalizáciu bolo už vynaložených množstvo zdrojov bez významného efektu) a schopnosť týchto opatrení vytvoriť prostredie na generovanie príjmov v budúcnosti - s dlhodobým vplyvom na rozvoj krajiny. </w:t>
      </w:r>
    </w:p>
    <w:bookmarkEnd w:id="1"/>
    <w:p w14:paraId="2FF9603B" w14:textId="77777777" w:rsidR="002E09DF" w:rsidRPr="00202ED7" w:rsidRDefault="002E09DF" w:rsidP="005E38F1">
      <w:pPr>
        <w:spacing w:after="0" w:line="240" w:lineRule="auto"/>
        <w:jc w:val="both"/>
        <w:rPr>
          <w:rFonts w:cstheme="minorHAnsi"/>
          <w:i/>
          <w:iCs/>
          <w:shd w:val="clear" w:color="auto" w:fill="FFFFFF"/>
        </w:rPr>
      </w:pPr>
    </w:p>
    <w:p w14:paraId="0CED93AC" w14:textId="77777777" w:rsidR="00AE0405" w:rsidRPr="00202ED7" w:rsidRDefault="00AE0405" w:rsidP="005E38F1">
      <w:pPr>
        <w:spacing w:after="0" w:line="240" w:lineRule="auto"/>
        <w:jc w:val="both"/>
        <w:rPr>
          <w:rFonts w:cstheme="minorHAnsi"/>
          <w:i/>
          <w:iCs/>
          <w:shd w:val="clear" w:color="auto" w:fill="FFFFFF"/>
        </w:rPr>
      </w:pPr>
    </w:p>
    <w:p w14:paraId="1146F7F7" w14:textId="77777777" w:rsidR="00A66CB0" w:rsidRPr="00202ED7" w:rsidRDefault="00A66CB0" w:rsidP="005E38F1">
      <w:pPr>
        <w:spacing w:after="0" w:line="240" w:lineRule="auto"/>
        <w:jc w:val="both"/>
        <w:rPr>
          <w:rFonts w:cstheme="minorHAnsi"/>
          <w:i/>
          <w:iCs/>
          <w:shd w:val="clear" w:color="auto" w:fill="FFFFFF"/>
        </w:rPr>
      </w:pPr>
    </w:p>
    <w:p w14:paraId="6AA38755" w14:textId="77777777" w:rsidR="00A66CB0" w:rsidRPr="00202ED7" w:rsidRDefault="00A66CB0" w:rsidP="005E38F1">
      <w:pPr>
        <w:spacing w:after="0" w:line="240" w:lineRule="auto"/>
        <w:jc w:val="both"/>
        <w:rPr>
          <w:rFonts w:cstheme="minorHAnsi"/>
          <w:i/>
          <w:iCs/>
          <w:shd w:val="clear" w:color="auto" w:fill="FFFFFF"/>
        </w:rPr>
      </w:pPr>
    </w:p>
    <w:p w14:paraId="1E8BC875" w14:textId="77777777" w:rsidR="00A66CB0" w:rsidRPr="00202ED7" w:rsidRDefault="00A66CB0" w:rsidP="005E38F1">
      <w:pPr>
        <w:spacing w:after="0" w:line="240" w:lineRule="auto"/>
        <w:jc w:val="both"/>
        <w:rPr>
          <w:rFonts w:cstheme="minorHAnsi"/>
          <w:i/>
          <w:iCs/>
          <w:shd w:val="clear" w:color="auto" w:fill="FFFFFF"/>
        </w:rPr>
      </w:pPr>
    </w:p>
    <w:p w14:paraId="7395FEA7" w14:textId="77777777" w:rsidR="00967F34" w:rsidRPr="00202ED7" w:rsidRDefault="00967F34" w:rsidP="005E38F1">
      <w:pPr>
        <w:pStyle w:val="Odsekzoznamu"/>
        <w:numPr>
          <w:ilvl w:val="0"/>
          <w:numId w:val="32"/>
        </w:numPr>
        <w:spacing w:after="0" w:line="240" w:lineRule="auto"/>
        <w:jc w:val="both"/>
        <w:rPr>
          <w:rFonts w:cstheme="minorHAnsi"/>
          <w:b/>
          <w:bCs/>
        </w:rPr>
      </w:pPr>
      <w:bookmarkStart w:id="3" w:name="_Hlk67035757"/>
      <w:bookmarkEnd w:id="0"/>
      <w:r w:rsidRPr="00202ED7">
        <w:rPr>
          <w:rFonts w:cstheme="minorHAnsi"/>
          <w:b/>
          <w:bCs/>
        </w:rPr>
        <w:lastRenderedPageBreak/>
        <w:t>Všeobecná pripomienka k</w:t>
      </w:r>
      <w:r w:rsidR="00AE0405" w:rsidRPr="00202ED7">
        <w:rPr>
          <w:rFonts w:cstheme="minorHAnsi"/>
          <w:b/>
          <w:bCs/>
        </w:rPr>
        <w:t> </w:t>
      </w:r>
      <w:r w:rsidRPr="00202ED7">
        <w:rPr>
          <w:rFonts w:cstheme="minorHAnsi"/>
          <w:b/>
          <w:bCs/>
        </w:rPr>
        <w:t>návrhu</w:t>
      </w:r>
      <w:r w:rsidR="00AE0405" w:rsidRPr="00202ED7">
        <w:rPr>
          <w:rFonts w:cstheme="minorHAnsi"/>
          <w:b/>
          <w:bCs/>
        </w:rPr>
        <w:t xml:space="preserve"> - zásadná</w:t>
      </w:r>
    </w:p>
    <w:p w14:paraId="5C5737D0" w14:textId="77777777" w:rsidR="00DC3FD3" w:rsidRPr="00202ED7" w:rsidRDefault="00DC3FD3" w:rsidP="005E38F1">
      <w:pPr>
        <w:spacing w:after="0" w:line="240" w:lineRule="auto"/>
        <w:jc w:val="both"/>
        <w:rPr>
          <w:rFonts w:cstheme="minorHAnsi"/>
          <w:b/>
          <w:bCs/>
        </w:rPr>
      </w:pPr>
    </w:p>
    <w:p w14:paraId="19051D2D" w14:textId="77777777" w:rsidR="00DC3FD3" w:rsidRPr="00202ED7" w:rsidRDefault="00967F34" w:rsidP="005E38F1">
      <w:pPr>
        <w:spacing w:after="0" w:line="240" w:lineRule="auto"/>
        <w:jc w:val="both"/>
        <w:rPr>
          <w:rFonts w:cstheme="minorHAnsi"/>
          <w:b/>
          <w:bCs/>
        </w:rPr>
      </w:pPr>
      <w:r w:rsidRPr="00202ED7">
        <w:rPr>
          <w:rFonts w:cstheme="minorHAnsi"/>
          <w:b/>
          <w:bCs/>
        </w:rPr>
        <w:t>Prípravu slovenského plánu obnovy a odolnosti považujeme za netransparentnú a </w:t>
      </w:r>
      <w:proofErr w:type="spellStart"/>
      <w:r w:rsidRPr="00202ED7">
        <w:rPr>
          <w:rFonts w:cstheme="minorHAnsi"/>
          <w:b/>
          <w:bCs/>
        </w:rPr>
        <w:t>neparticipatívnu</w:t>
      </w:r>
      <w:proofErr w:type="spellEnd"/>
      <w:r w:rsidRPr="00202ED7">
        <w:rPr>
          <w:rFonts w:cstheme="minorHAnsi"/>
          <w:b/>
          <w:bCs/>
        </w:rPr>
        <w:t xml:space="preserve">. Nemáme vedomosť o tom, že by zástupcovia agropotravinárskeho sektora boli prizvaní do procesu prípravy, aby sa mohli podieľať na formulácii tohto významného dokumentu. </w:t>
      </w:r>
      <w:r w:rsidR="00DC3FD3" w:rsidRPr="00202ED7">
        <w:rPr>
          <w:rFonts w:cstheme="minorHAnsi"/>
          <w:b/>
          <w:bCs/>
        </w:rPr>
        <w:t>Napriek verejnej deklarácií zo strany premiéra SR, že otvorí verejnú diskusiu k pripravovaným materiálom, aby sa finančné zdroje čo najefektívnejšie využili, sa debaty konali iba v rámci úzkej skupiny expertov za zatvorenými dverami. Považujeme to za zásadný nedostatok tohto materiálu</w:t>
      </w:r>
      <w:r w:rsidR="00AE0405" w:rsidRPr="00202ED7">
        <w:rPr>
          <w:rFonts w:cstheme="minorHAnsi"/>
          <w:b/>
          <w:bCs/>
        </w:rPr>
        <w:t>,</w:t>
      </w:r>
      <w:r w:rsidR="00DC3FD3" w:rsidRPr="00202ED7">
        <w:rPr>
          <w:rFonts w:cstheme="minorHAnsi"/>
          <w:b/>
          <w:bCs/>
        </w:rPr>
        <w:t xml:space="preserve"> a</w:t>
      </w:r>
      <w:r w:rsidR="00AE0405" w:rsidRPr="00202ED7">
        <w:rPr>
          <w:rFonts w:cstheme="minorHAnsi"/>
          <w:b/>
          <w:bCs/>
        </w:rPr>
        <w:t xml:space="preserve"> aj</w:t>
      </w:r>
      <w:r w:rsidR="00DC3FD3" w:rsidRPr="00202ED7">
        <w:rPr>
          <w:rFonts w:cstheme="minorHAnsi"/>
          <w:b/>
          <w:bCs/>
        </w:rPr>
        <w:t xml:space="preserve"> preto trváme na prepracovaní  Plánu obnovy a odolnosti SR v súlade s pravidlami národného konzultačného procesu a v súlade s odporúčaniami EK. </w:t>
      </w:r>
    </w:p>
    <w:p w14:paraId="743D0F6D" w14:textId="77777777" w:rsidR="00DC3FD3" w:rsidRPr="00202ED7" w:rsidRDefault="00DC3FD3" w:rsidP="005E38F1">
      <w:pPr>
        <w:spacing w:after="0" w:line="240" w:lineRule="auto"/>
        <w:jc w:val="both"/>
        <w:rPr>
          <w:rFonts w:cstheme="minorHAnsi"/>
        </w:rPr>
      </w:pPr>
    </w:p>
    <w:p w14:paraId="6585BEC2" w14:textId="77777777" w:rsidR="00DC3FD3" w:rsidRPr="00202ED7" w:rsidRDefault="00691895" w:rsidP="005E38F1">
      <w:pPr>
        <w:spacing w:after="0" w:line="240" w:lineRule="auto"/>
        <w:jc w:val="both"/>
        <w:rPr>
          <w:rFonts w:cstheme="minorHAnsi"/>
        </w:rPr>
      </w:pPr>
      <w:r w:rsidRPr="00202ED7">
        <w:rPr>
          <w:rFonts w:cstheme="minorHAnsi"/>
        </w:rPr>
        <w:t xml:space="preserve">Odôvodnenie: </w:t>
      </w:r>
      <w:r w:rsidR="00DC3FD3" w:rsidRPr="00202ED7">
        <w:rPr>
          <w:rFonts w:cstheme="minorHAnsi"/>
        </w:rPr>
        <w:t xml:space="preserve"> </w:t>
      </w:r>
    </w:p>
    <w:p w14:paraId="56F4038C" w14:textId="77777777" w:rsidR="005D4DF9" w:rsidRPr="00202ED7" w:rsidRDefault="005D4DF9" w:rsidP="005E38F1">
      <w:pPr>
        <w:spacing w:after="0" w:line="240" w:lineRule="auto"/>
        <w:jc w:val="both"/>
        <w:rPr>
          <w:rFonts w:cstheme="minorHAnsi"/>
        </w:rPr>
      </w:pPr>
      <w:r w:rsidRPr="00202ED7">
        <w:rPr>
          <w:rFonts w:cstheme="minorHAnsi"/>
        </w:rPr>
        <w:t>Podľa usmernení Európskej komisie členským štátom mali členské štáty pri vypracúvaní svojich plánov na podporu obnovy a</w:t>
      </w:r>
      <w:r w:rsidR="00691895" w:rsidRPr="00202ED7">
        <w:rPr>
          <w:rFonts w:cstheme="minorHAnsi"/>
        </w:rPr>
        <w:t> </w:t>
      </w:r>
      <w:r w:rsidRPr="00202ED7">
        <w:rPr>
          <w:rFonts w:cstheme="minorHAnsi"/>
        </w:rPr>
        <w:t>odolnosti</w:t>
      </w:r>
      <w:r w:rsidR="00691895" w:rsidRPr="00202ED7">
        <w:rPr>
          <w:rFonts w:cstheme="minorHAnsi"/>
        </w:rPr>
        <w:t>,</w:t>
      </w:r>
      <w:r w:rsidRPr="00202ED7">
        <w:rPr>
          <w:rFonts w:cstheme="minorHAnsi"/>
        </w:rPr>
        <w:t xml:space="preserve"> čo najskôr zapoji</w:t>
      </w:r>
      <w:r w:rsidR="00967F34" w:rsidRPr="00202ED7">
        <w:rPr>
          <w:rFonts w:cstheme="minorHAnsi"/>
        </w:rPr>
        <w:t>ť</w:t>
      </w:r>
      <w:r w:rsidRPr="00202ED7">
        <w:rPr>
          <w:rFonts w:cstheme="minorHAnsi"/>
        </w:rPr>
        <w:t xml:space="preserve"> do širokého dialógu o politikách sociálnych partnerov a všetky ostatné príslušné zainteresované strany. Slovensko má povinnosť podať správu Európskej komisii o tom, ako zapojilo a konzultovalo plán obnovy s verejnosťou.</w:t>
      </w:r>
    </w:p>
    <w:p w14:paraId="6A39015A" w14:textId="77777777" w:rsidR="00DC3FD3" w:rsidRPr="00202ED7" w:rsidRDefault="00DC3FD3" w:rsidP="005E38F1">
      <w:pPr>
        <w:spacing w:after="0" w:line="240" w:lineRule="auto"/>
        <w:jc w:val="both"/>
        <w:rPr>
          <w:rFonts w:cstheme="minorHAnsi"/>
        </w:rPr>
      </w:pPr>
    </w:p>
    <w:p w14:paraId="27F5BE53" w14:textId="77777777" w:rsidR="00DC3FD3" w:rsidRPr="00202ED7" w:rsidRDefault="005D4DF9" w:rsidP="005E38F1">
      <w:pPr>
        <w:spacing w:after="0" w:line="240" w:lineRule="auto"/>
        <w:jc w:val="both"/>
        <w:rPr>
          <w:rFonts w:cstheme="minorHAnsi"/>
        </w:rPr>
      </w:pPr>
      <w:r w:rsidRPr="00202ED7">
        <w:rPr>
          <w:rFonts w:cstheme="minorHAnsi"/>
        </w:rPr>
        <w:t>V článku 15 ods. 3 písm. (ja) dočasnej dohody o nástroji na obnovu a odolnosť z 18. decembra 2020 sa stanovuje právna požiadavka, aby členské štáty zahrnuli do plánov obnovy a odolnosti súhrn konzultačného procesu uskutočňovaného v súlade s národným právnym rámcom s miestnymi a regionálnymi orgánmi, sociálnymi partnermi, organizáciami občianskej spoločnosti, mládežníckymi organizáciami a ďalšími relevantnými zainteresovanými stranami</w:t>
      </w:r>
    </w:p>
    <w:p w14:paraId="19934DD2" w14:textId="77777777" w:rsidR="00691895" w:rsidRPr="00202ED7" w:rsidRDefault="00691895" w:rsidP="005E38F1">
      <w:pPr>
        <w:spacing w:after="0" w:line="240" w:lineRule="auto"/>
        <w:jc w:val="both"/>
        <w:rPr>
          <w:rFonts w:cstheme="minorHAnsi"/>
        </w:rPr>
      </w:pPr>
      <w:r w:rsidRPr="00202ED7">
        <w:rPr>
          <w:rFonts w:cstheme="minorHAnsi"/>
        </w:rPr>
        <w:t>(</w:t>
      </w:r>
      <w:hyperlink r:id="rId9" w:history="1">
        <w:r w:rsidRPr="00202ED7">
          <w:rPr>
            <w:rFonts w:cstheme="minorHAnsi"/>
          </w:rPr>
          <w:t>https://www.europarl.europa.eu/doceo/document/P-9-2021-000175-ASW_EN.html</w:t>
        </w:r>
      </w:hyperlink>
      <w:r w:rsidRPr="00202ED7">
        <w:rPr>
          <w:rFonts w:cstheme="minorHAnsi"/>
        </w:rPr>
        <w:t xml:space="preserve">). </w:t>
      </w:r>
    </w:p>
    <w:p w14:paraId="431D38B2" w14:textId="77777777" w:rsidR="00DC3FD3" w:rsidRPr="00202ED7" w:rsidRDefault="005D4DF9" w:rsidP="005E38F1">
      <w:pPr>
        <w:spacing w:after="0" w:line="240" w:lineRule="auto"/>
        <w:jc w:val="both"/>
        <w:rPr>
          <w:rFonts w:cstheme="minorHAnsi"/>
        </w:rPr>
      </w:pPr>
      <w:r w:rsidRPr="00202ED7">
        <w:rPr>
          <w:rFonts w:cstheme="minorHAnsi"/>
        </w:rPr>
        <w:t>S cieľom zabezpečiť účinné vykonávanie plánov na podporu obnovy a odolnosti poskytuje usmernenie Komisie pre členské štáty týkajúce sa ich plánov na podporu obnovy a odolnosti uverejnené 22. januára 2021 objasnenie tejto povinnosti podávať správy o konzultačnom procese</w:t>
      </w:r>
      <w:r w:rsidR="00691895" w:rsidRPr="00202ED7">
        <w:rPr>
          <w:rFonts w:cstheme="minorHAnsi"/>
        </w:rPr>
        <w:t xml:space="preserve"> (</w:t>
      </w:r>
      <w:proofErr w:type="spellStart"/>
      <w:r w:rsidR="00691895" w:rsidRPr="00202ED7">
        <w:rPr>
          <w:rFonts w:cstheme="minorHAnsi"/>
        </w:rPr>
        <w:t>Brussels</w:t>
      </w:r>
      <w:proofErr w:type="spellEnd"/>
      <w:r w:rsidR="00691895" w:rsidRPr="00202ED7">
        <w:rPr>
          <w:rFonts w:cstheme="minorHAnsi"/>
        </w:rPr>
        <w:t xml:space="preserve">, 22.1.2021 SWD(2021) 12 </w:t>
      </w:r>
      <w:proofErr w:type="spellStart"/>
      <w:r w:rsidR="00691895" w:rsidRPr="00202ED7">
        <w:rPr>
          <w:rFonts w:cstheme="minorHAnsi"/>
        </w:rPr>
        <w:t>final</w:t>
      </w:r>
      <w:proofErr w:type="spellEnd"/>
      <w:r w:rsidR="00691895" w:rsidRPr="00202ED7">
        <w:rPr>
          <w:rFonts w:cstheme="minorHAnsi"/>
        </w:rPr>
        <w:t xml:space="preserve"> PART 1/2 COMMISSION STAFF WORKING DOCUMENT GUIDANCE TO MEMBER STATES RECOVERY AND RESILIENCE PLANS</w:t>
      </w:r>
      <w:r w:rsidR="00DC3FD3" w:rsidRPr="00202ED7">
        <w:rPr>
          <w:rFonts w:cstheme="minorHAnsi"/>
        </w:rPr>
        <w:t xml:space="preserve"> </w:t>
      </w:r>
    </w:p>
    <w:p w14:paraId="5314E279" w14:textId="77777777" w:rsidR="00691895" w:rsidRPr="00202ED7" w:rsidRDefault="00C32BD7" w:rsidP="005E38F1">
      <w:pPr>
        <w:spacing w:after="0" w:line="240" w:lineRule="auto"/>
        <w:jc w:val="both"/>
        <w:rPr>
          <w:rFonts w:cstheme="minorHAnsi"/>
        </w:rPr>
      </w:pPr>
      <w:hyperlink r:id="rId10" w:history="1">
        <w:r w:rsidR="00DC3FD3" w:rsidRPr="00202ED7">
          <w:rPr>
            <w:rStyle w:val="Hypertextovprepojenie"/>
            <w:rFonts w:cstheme="minorHAnsi"/>
            <w:color w:val="auto"/>
          </w:rPr>
          <w:t>https://ec.europa.eu/info/sites/info/files/document_travail_service_part1_v2_en.pdf</w:t>
        </w:r>
      </w:hyperlink>
      <w:r w:rsidR="00691895" w:rsidRPr="00202ED7">
        <w:rPr>
          <w:rFonts w:cstheme="minorHAnsi"/>
        </w:rPr>
        <w:t xml:space="preserve"> , </w:t>
      </w:r>
      <w:hyperlink r:id="rId11" w:history="1">
        <w:r w:rsidR="00691895" w:rsidRPr="00202ED7">
          <w:rPr>
            <w:rFonts w:cstheme="minorHAnsi"/>
          </w:rPr>
          <w:t>https://ec.europa.eu/info/sites/info/files/document_travail_service_part2_v3_en.pdf</w:t>
        </w:r>
      </w:hyperlink>
      <w:r w:rsidR="00691895" w:rsidRPr="00202ED7">
        <w:rPr>
          <w:rFonts w:cstheme="minorHAnsi"/>
        </w:rPr>
        <w:t xml:space="preserve">). </w:t>
      </w:r>
    </w:p>
    <w:p w14:paraId="634125AE" w14:textId="77777777" w:rsidR="00DC3FD3" w:rsidRPr="00202ED7" w:rsidRDefault="00DC3FD3" w:rsidP="005E38F1">
      <w:pPr>
        <w:pStyle w:val="Textkomentra"/>
        <w:spacing w:after="0"/>
        <w:jc w:val="both"/>
        <w:rPr>
          <w:rFonts w:cstheme="minorHAnsi"/>
          <w:sz w:val="22"/>
          <w:szCs w:val="22"/>
        </w:rPr>
      </w:pPr>
    </w:p>
    <w:p w14:paraId="554F695D" w14:textId="77777777" w:rsidR="00691895" w:rsidRPr="00202ED7" w:rsidRDefault="005D4DF9" w:rsidP="005E38F1">
      <w:pPr>
        <w:pStyle w:val="Textkomentra"/>
        <w:spacing w:after="0"/>
        <w:jc w:val="both"/>
        <w:rPr>
          <w:rFonts w:cstheme="minorHAnsi"/>
          <w:sz w:val="22"/>
          <w:szCs w:val="22"/>
        </w:rPr>
      </w:pPr>
      <w:r w:rsidRPr="00202ED7">
        <w:rPr>
          <w:rFonts w:cstheme="minorHAnsi"/>
          <w:sz w:val="22"/>
          <w:szCs w:val="22"/>
        </w:rPr>
        <w:t>Príslušné zhrnutie by malo popisovať rozsah (zoznam konzultovaných sociálnych partnerov, organizácií občianskej spoločnosti, zainteresovaných strán atď.), typ (konferenčný, dvojstranný, trojstranný atď.) a načasovanie podporných snáh a či boli konzultované zúčastnené strany selektívne (o konkrétnych komponentoch) alebo či prebehla všeobecná konzultácia o komplexnom návrhu plánu.</w:t>
      </w:r>
      <w:r w:rsidR="00691895" w:rsidRPr="00202ED7">
        <w:rPr>
          <w:rFonts w:cstheme="minorHAnsi"/>
          <w:sz w:val="22"/>
          <w:szCs w:val="22"/>
        </w:rPr>
        <w:t xml:space="preserve"> </w:t>
      </w:r>
      <w:r w:rsidRPr="00202ED7">
        <w:rPr>
          <w:rFonts w:cstheme="minorHAnsi"/>
          <w:sz w:val="22"/>
          <w:szCs w:val="22"/>
        </w:rPr>
        <w:t>Členské štáty by okrem toho mali, pokiaľ je to možné, vysvetliť plánované kroky na celkové zapojenie a konzultácie s príslušnými zainteresovanými stranami do celkovej implementácie plánov.</w:t>
      </w:r>
      <w:r w:rsidR="00691895" w:rsidRPr="00202ED7">
        <w:rPr>
          <w:rFonts w:cstheme="minorHAnsi"/>
          <w:sz w:val="22"/>
          <w:szCs w:val="22"/>
        </w:rPr>
        <w:t xml:space="preserve"> </w:t>
      </w:r>
      <w:r w:rsidRPr="00202ED7">
        <w:rPr>
          <w:rFonts w:cstheme="minorHAnsi"/>
          <w:sz w:val="22"/>
          <w:szCs w:val="22"/>
        </w:rPr>
        <w:t>Cieľom tohto prístupu je zlepšiť kvalitu plánov, zvýšiť zodpovednosť za vykonávanie reforiem a investícií a zvýšiť transparentnosť. Komisia overí úplnosť plánov na podporu obnovy a odolnosti v súlade s ustanoveniami článku 15 vrátane podávania správ o konzultačnom procese.</w:t>
      </w:r>
      <w:r w:rsidR="00691895" w:rsidRPr="00202ED7">
        <w:rPr>
          <w:rFonts w:cstheme="minorHAnsi"/>
          <w:sz w:val="22"/>
          <w:szCs w:val="22"/>
        </w:rPr>
        <w:t xml:space="preserve"> </w:t>
      </w:r>
    </w:p>
    <w:p w14:paraId="6289F6DD" w14:textId="77777777" w:rsidR="00DC3FD3" w:rsidRPr="00202ED7" w:rsidRDefault="00DC3FD3" w:rsidP="005E38F1">
      <w:pPr>
        <w:pStyle w:val="Textkomentra"/>
        <w:spacing w:after="0"/>
        <w:jc w:val="both"/>
        <w:rPr>
          <w:rFonts w:cstheme="minorHAnsi"/>
          <w:sz w:val="22"/>
          <w:szCs w:val="22"/>
        </w:rPr>
      </w:pPr>
    </w:p>
    <w:p w14:paraId="61D07392" w14:textId="77CB9F08" w:rsidR="00DC3FD3" w:rsidRPr="00202ED7" w:rsidRDefault="005D4DF9" w:rsidP="005E38F1">
      <w:pPr>
        <w:pStyle w:val="Textkomentra"/>
        <w:spacing w:after="0"/>
        <w:jc w:val="both"/>
        <w:rPr>
          <w:rFonts w:cstheme="minorHAnsi"/>
          <w:sz w:val="22"/>
          <w:szCs w:val="22"/>
        </w:rPr>
      </w:pPr>
      <w:r w:rsidRPr="00202ED7">
        <w:rPr>
          <w:rFonts w:cstheme="minorHAnsi"/>
          <w:sz w:val="22"/>
          <w:szCs w:val="22"/>
        </w:rPr>
        <w:t>Toto ustanovenie obsahuje aj prijaté Nariadenie Európskeho parlamentu a Rady (EÚ) 2021/241 z 12. februára 2021, ktorým sa zriaďuje Mechanizmus na podporu obnovy a odolnosti (čl. 18 ods. 4 písm. q); zmienené aj odôvodnení 34 a 39)</w:t>
      </w:r>
      <w:r w:rsidR="00DC3FD3" w:rsidRPr="00202ED7">
        <w:rPr>
          <w:rFonts w:cstheme="minorHAnsi"/>
          <w:sz w:val="22"/>
          <w:szCs w:val="22"/>
        </w:rPr>
        <w:t xml:space="preserve">. </w:t>
      </w:r>
      <w:bookmarkStart w:id="4" w:name="_Hlk60768868"/>
    </w:p>
    <w:p w14:paraId="14EE887A" w14:textId="77777777" w:rsidR="00DC3FD3" w:rsidRPr="00202ED7" w:rsidRDefault="00DC3FD3" w:rsidP="005E38F1">
      <w:pPr>
        <w:pStyle w:val="Textkomentra"/>
        <w:spacing w:after="0"/>
        <w:jc w:val="both"/>
        <w:rPr>
          <w:rFonts w:cstheme="minorHAnsi"/>
          <w:sz w:val="22"/>
          <w:szCs w:val="22"/>
        </w:rPr>
      </w:pPr>
    </w:p>
    <w:p w14:paraId="1DF65B08" w14:textId="0931F311" w:rsidR="00EC4700" w:rsidRPr="00202ED7" w:rsidRDefault="00CC7D2D" w:rsidP="005E38F1">
      <w:pPr>
        <w:pStyle w:val="Textkomentra"/>
        <w:spacing w:after="0"/>
        <w:jc w:val="both"/>
        <w:rPr>
          <w:rFonts w:cstheme="minorHAnsi"/>
          <w:sz w:val="22"/>
          <w:szCs w:val="22"/>
        </w:rPr>
      </w:pPr>
      <w:r>
        <w:rPr>
          <w:rFonts w:cstheme="minorHAnsi"/>
          <w:sz w:val="22"/>
          <w:szCs w:val="22"/>
        </w:rPr>
        <w:t>V</w:t>
      </w:r>
      <w:r w:rsidR="00315A4D">
        <w:rPr>
          <w:rFonts w:cstheme="minorHAnsi"/>
          <w:sz w:val="22"/>
          <w:szCs w:val="22"/>
        </w:rPr>
        <w:t>ychádzajúc z medializovaných informácií</w:t>
      </w:r>
      <w:r w:rsidR="00CB52C5">
        <w:rPr>
          <w:rFonts w:cstheme="minorHAnsi"/>
          <w:sz w:val="22"/>
          <w:szCs w:val="22"/>
        </w:rPr>
        <w:t>,</w:t>
      </w:r>
      <w:r w:rsidR="00691895" w:rsidRPr="00202ED7">
        <w:rPr>
          <w:rFonts w:cstheme="minorHAnsi"/>
          <w:sz w:val="22"/>
          <w:szCs w:val="22"/>
        </w:rPr>
        <w:t xml:space="preserve"> viac</w:t>
      </w:r>
      <w:r w:rsidR="005D4DF9" w:rsidRPr="00202ED7">
        <w:rPr>
          <w:rFonts w:cstheme="minorHAnsi"/>
          <w:sz w:val="22"/>
          <w:szCs w:val="22"/>
        </w:rPr>
        <w:t xml:space="preserve"> ako 50 mimovládnych organizácií označilo prípravu Plánu obnovy pre Slovensko za netransparentnú a</w:t>
      </w:r>
      <w:r w:rsidR="00967F34" w:rsidRPr="00202ED7">
        <w:rPr>
          <w:rFonts w:cstheme="minorHAnsi"/>
          <w:sz w:val="22"/>
          <w:szCs w:val="22"/>
        </w:rPr>
        <w:t> </w:t>
      </w:r>
      <w:proofErr w:type="spellStart"/>
      <w:r w:rsidR="005D4DF9" w:rsidRPr="00202ED7">
        <w:rPr>
          <w:rFonts w:cstheme="minorHAnsi"/>
          <w:sz w:val="22"/>
          <w:szCs w:val="22"/>
        </w:rPr>
        <w:t>neparticipatívn</w:t>
      </w:r>
      <w:bookmarkEnd w:id="4"/>
      <w:r w:rsidR="00691895" w:rsidRPr="00202ED7">
        <w:rPr>
          <w:rFonts w:cstheme="minorHAnsi"/>
          <w:sz w:val="22"/>
          <w:szCs w:val="22"/>
        </w:rPr>
        <w:t>u</w:t>
      </w:r>
      <w:proofErr w:type="spellEnd"/>
      <w:r w:rsidR="00967F34" w:rsidRPr="00202ED7">
        <w:rPr>
          <w:rFonts w:cstheme="minorHAnsi"/>
          <w:sz w:val="22"/>
          <w:szCs w:val="22"/>
        </w:rPr>
        <w:t>, nakoľko</w:t>
      </w:r>
      <w:r w:rsidR="005D4DF9" w:rsidRPr="00202ED7">
        <w:rPr>
          <w:rFonts w:cstheme="minorHAnsi"/>
          <w:sz w:val="22"/>
          <w:szCs w:val="22"/>
        </w:rPr>
        <w:t xml:space="preserve"> nemohli dokument pripomienkovať</w:t>
      </w:r>
      <w:r w:rsidR="00967F34" w:rsidRPr="00202ED7">
        <w:rPr>
          <w:rFonts w:cstheme="minorHAnsi"/>
          <w:sz w:val="22"/>
          <w:szCs w:val="22"/>
        </w:rPr>
        <w:t xml:space="preserve">. </w:t>
      </w:r>
      <w:bookmarkEnd w:id="3"/>
    </w:p>
    <w:p w14:paraId="0F0F09EA" w14:textId="77777777" w:rsidR="002B67B4" w:rsidRPr="00202ED7" w:rsidRDefault="002B67B4" w:rsidP="005E38F1">
      <w:pPr>
        <w:spacing w:after="0" w:line="240" w:lineRule="auto"/>
        <w:jc w:val="both"/>
        <w:rPr>
          <w:rFonts w:cstheme="minorHAnsi"/>
        </w:rPr>
      </w:pPr>
    </w:p>
    <w:p w14:paraId="4EFC1ED6" w14:textId="77777777" w:rsidR="00AE0405" w:rsidRPr="00202ED7" w:rsidRDefault="00AE0405" w:rsidP="005E38F1">
      <w:pPr>
        <w:spacing w:after="0" w:line="240" w:lineRule="auto"/>
        <w:jc w:val="both"/>
        <w:rPr>
          <w:rFonts w:cstheme="minorHAnsi"/>
        </w:rPr>
      </w:pPr>
    </w:p>
    <w:p w14:paraId="3937E6DD" w14:textId="77777777" w:rsidR="00AE0405" w:rsidRPr="00202ED7" w:rsidRDefault="00AE0405" w:rsidP="005E38F1">
      <w:pPr>
        <w:spacing w:after="0" w:line="240" w:lineRule="auto"/>
        <w:jc w:val="both"/>
        <w:rPr>
          <w:rFonts w:cstheme="minorHAnsi"/>
        </w:rPr>
      </w:pPr>
    </w:p>
    <w:p w14:paraId="30A06E13" w14:textId="77777777" w:rsidR="002B67B4" w:rsidRPr="00202ED7" w:rsidRDefault="002B67B4" w:rsidP="005E38F1">
      <w:pPr>
        <w:pStyle w:val="Odsekzoznamu"/>
        <w:numPr>
          <w:ilvl w:val="0"/>
          <w:numId w:val="32"/>
        </w:numPr>
        <w:spacing w:after="0" w:line="240" w:lineRule="auto"/>
        <w:jc w:val="both"/>
        <w:rPr>
          <w:rFonts w:cstheme="minorHAnsi"/>
          <w:b/>
          <w:bCs/>
          <w:shd w:val="clear" w:color="auto" w:fill="FFFFFF"/>
        </w:rPr>
      </w:pPr>
      <w:r w:rsidRPr="00202ED7">
        <w:rPr>
          <w:rFonts w:cstheme="minorHAnsi"/>
          <w:b/>
          <w:bCs/>
          <w:shd w:val="clear" w:color="auto" w:fill="FFFFFF"/>
        </w:rPr>
        <w:t xml:space="preserve">Všeobecná pripomienka k návrhu </w:t>
      </w:r>
      <w:r w:rsidR="00AE0405" w:rsidRPr="00202ED7">
        <w:rPr>
          <w:rFonts w:cstheme="minorHAnsi"/>
          <w:b/>
          <w:bCs/>
          <w:shd w:val="clear" w:color="auto" w:fill="FFFFFF"/>
        </w:rPr>
        <w:t>- zásadná</w:t>
      </w:r>
    </w:p>
    <w:p w14:paraId="15AB94D0" w14:textId="77777777" w:rsidR="00DC3FD3" w:rsidRPr="00202ED7" w:rsidRDefault="00DC3FD3" w:rsidP="005E38F1">
      <w:pPr>
        <w:pStyle w:val="Odsekzoznamu"/>
        <w:spacing w:after="0" w:line="240" w:lineRule="auto"/>
        <w:jc w:val="both"/>
        <w:rPr>
          <w:rFonts w:cstheme="minorHAnsi"/>
          <w:b/>
          <w:bCs/>
          <w:shd w:val="clear" w:color="auto" w:fill="FFFFFF"/>
        </w:rPr>
      </w:pPr>
    </w:p>
    <w:p w14:paraId="7278B518" w14:textId="77777777" w:rsidR="002B67B4" w:rsidRPr="00202ED7" w:rsidRDefault="002B67B4" w:rsidP="005E38F1">
      <w:pPr>
        <w:spacing w:after="0" w:line="240" w:lineRule="auto"/>
        <w:jc w:val="both"/>
        <w:rPr>
          <w:rFonts w:cstheme="minorHAnsi"/>
        </w:rPr>
      </w:pPr>
      <w:r w:rsidRPr="00202ED7">
        <w:rPr>
          <w:rFonts w:cstheme="minorHAnsi"/>
        </w:rPr>
        <w:t xml:space="preserve">Slovensko je výrazne vidieckou krajinou. Materiál ako taký však žiadnym spôsobom neadresuje vidiek a jeho špecifické problémy – najmä čo sa týka vysokej nezamestnanosti a nízkej príjmovej úrovne – ktoré sa následkom </w:t>
      </w:r>
      <w:proofErr w:type="spellStart"/>
      <w:r w:rsidRPr="00202ED7">
        <w:rPr>
          <w:rFonts w:cstheme="minorHAnsi"/>
        </w:rPr>
        <w:t>koronakrízy</w:t>
      </w:r>
      <w:proofErr w:type="spellEnd"/>
      <w:r w:rsidRPr="00202ED7">
        <w:rPr>
          <w:rFonts w:cstheme="minorHAnsi"/>
        </w:rPr>
        <w:t xml:space="preserve"> ešte prehĺbia. Rozšírenie pokrytia vysokorýchlostným internetom nebude postačujúce pre rozvoj vidieka. Komponent 5 (Adaptácia na zmenu klímy) spomína vidiek len v súvislosti s mäkkým turizmom a agroturistikou, čo je značne nedostatočné riešenie. Navyše, v čase pandémie ide o veľmi zraniteľné činnosti.  </w:t>
      </w:r>
    </w:p>
    <w:p w14:paraId="1BC84924" w14:textId="77777777" w:rsidR="00DC3FD3" w:rsidRPr="00202ED7" w:rsidRDefault="00DC3FD3" w:rsidP="005E38F1">
      <w:pPr>
        <w:spacing w:after="0" w:line="240" w:lineRule="auto"/>
        <w:jc w:val="both"/>
        <w:rPr>
          <w:rFonts w:cstheme="minorHAnsi"/>
        </w:rPr>
      </w:pPr>
    </w:p>
    <w:p w14:paraId="6DAAA173" w14:textId="02A453A8" w:rsidR="002B67B4" w:rsidRPr="00202ED7" w:rsidRDefault="002B67B4" w:rsidP="005E38F1">
      <w:pPr>
        <w:spacing w:after="0" w:line="240" w:lineRule="auto"/>
        <w:jc w:val="both"/>
        <w:rPr>
          <w:rFonts w:cstheme="minorHAnsi"/>
        </w:rPr>
      </w:pPr>
      <w:r w:rsidRPr="00202ED7">
        <w:rPr>
          <w:rFonts w:cstheme="minorHAnsi"/>
        </w:rPr>
        <w:t xml:space="preserve">Odôvodnenie: Viaceré vidiecke regióny v EÚ zápasia s nezamestnanosťou, nepriaznivou demografickou štruktúrou, nízkymi príjmami a chudobou. Platí to aj pre Slovenskú republiku – zvlášť čo sa týka nezamestnanosti na vidieku. Ak zoberieme do úvahy aj regionálnu diferencovanosť, zaostalejšie vidiecke regióny čelia niekoľkonásobne vyššej nezamestnanosti a príjmovému zaostávaniu ako iné regióny. SR je navyše jednou z najvidieckejších krajín EÚ V dôsledku pandémie sa situácia ďalej zhorší. Prepad HPD či nárast nezamestnanosti za celú SR nemusia byť významné – ako upokojuje MF SR, avšak regionálny pohľad na dáta ukazuje inú situáciu. Inštitút INESS v nedávnej publikácii varoval pred regionálnymi pandémiami nezamestnanosti - ktoré v plnej sile prepuknú, keď skončia dotácie na udržanie pracovných miest. Zjednodušene povedané, najzaostalejšie regióny budú </w:t>
      </w:r>
      <w:proofErr w:type="spellStart"/>
      <w:r w:rsidRPr="00202ED7">
        <w:rPr>
          <w:rFonts w:cstheme="minorHAnsi"/>
        </w:rPr>
        <w:t>koronakrízou</w:t>
      </w:r>
      <w:proofErr w:type="spellEnd"/>
      <w:r w:rsidRPr="00202ED7">
        <w:rPr>
          <w:rFonts w:cstheme="minorHAnsi"/>
        </w:rPr>
        <w:t xml:space="preserve"> postihnuté najviac – regionálna nerovnováha sa tak ďalej prehĺbi. </w:t>
      </w:r>
    </w:p>
    <w:p w14:paraId="46009B88" w14:textId="77777777" w:rsidR="00AE0405" w:rsidRPr="00202ED7" w:rsidRDefault="00AE0405" w:rsidP="005E38F1">
      <w:pPr>
        <w:spacing w:after="0" w:line="240" w:lineRule="auto"/>
        <w:jc w:val="both"/>
        <w:rPr>
          <w:rFonts w:cstheme="minorHAnsi"/>
        </w:rPr>
      </w:pPr>
    </w:p>
    <w:p w14:paraId="205B99D5" w14:textId="77777777" w:rsidR="002B67B4" w:rsidRPr="00202ED7" w:rsidRDefault="002B67B4" w:rsidP="005E38F1">
      <w:pPr>
        <w:spacing w:after="0" w:line="240" w:lineRule="auto"/>
        <w:jc w:val="both"/>
        <w:rPr>
          <w:rFonts w:cstheme="minorHAnsi"/>
        </w:rPr>
      </w:pPr>
      <w:r w:rsidRPr="00202ED7">
        <w:rPr>
          <w:rFonts w:cstheme="minorHAnsi"/>
        </w:rPr>
        <w:t xml:space="preserve">Poľnohospodárstvo a potravinárstvo majú rozhodujúci význam pre rozvoj vidieckych a prechodných regiónov. Sú hlavným odvetvím pre rozvoj podnikania na vidieku s cieľom vytvárať pracovné miesta, vytvárať produkciu a pridanú hodnotu. Pokles zamestnanosti v poľnohospodárstve za posledných 25 rokov je v porovnaní s ostatnými  členskými krajinami najvýraznejší práve v prípade SR. Je potrebné zjednodušiť zamestnávanie. Riešenia sú k dispozícii a sú používané v okolitých krajinách (napr. pracovné </w:t>
      </w:r>
      <w:proofErr w:type="spellStart"/>
      <w:r w:rsidRPr="00202ED7">
        <w:rPr>
          <w:rFonts w:cstheme="minorHAnsi"/>
        </w:rPr>
        <w:t>vouchre</w:t>
      </w:r>
      <w:proofErr w:type="spellEnd"/>
      <w:r w:rsidRPr="00202ED7">
        <w:rPr>
          <w:rFonts w:cstheme="minorHAnsi"/>
        </w:rPr>
        <w:t xml:space="preserve"> na zamestnávanie sezónnych pracovníkov, zjednodušený daňovo-odvodový režim, zvýhodnený odvodový režim pre konkrétne skupiny – napr. dlhodobo nezamestnaných). Taktiež je priestor systémovo zvýhodniť malých poľnohospodárov (napr. daňovo-odvodový paušál pre živnostníkov a malé podniky do stanoveného ročného obratu). Pre spracovateľský priemysel je zvlášť kritické zvyšovanie príplatkov za prácu v noci či vo sviatok, keďže mnohé odvetvia potravinárstva závisia práve od práce v neštandardných hodinách. Sezónny charakter poľnohospodárskej práce nenachádza pochopenie u tvorcov legislatívy, ktorí tento typ zamestnávania nadmieru zaťažujú. Jedným zo súčasných trendov na trhu práce v iných krajinách je tzv. flexibilná práca, ktorá okrem zvýšenia zamestnanosti prispieva k zníženiu šedej ekonomiky a práci na čierno. V tomto smere je významná aj kapitálová </w:t>
      </w:r>
      <w:proofErr w:type="spellStart"/>
      <w:r w:rsidRPr="00202ED7">
        <w:rPr>
          <w:rFonts w:cstheme="minorHAnsi"/>
        </w:rPr>
        <w:t>poddimenzovanosť</w:t>
      </w:r>
      <w:proofErr w:type="spellEnd"/>
      <w:r w:rsidRPr="00202ED7">
        <w:rPr>
          <w:rFonts w:cstheme="minorHAnsi"/>
        </w:rPr>
        <w:t xml:space="preserve"> agropotravinárskych podnikov, čo súvisí s nižším mzdovým ohodnotením. Modernizácia odvetvia – v súlade s udržateľnosťou – a inovácie majú vysoký potenciál pre rozvoj. MPRV navrhovalo zaradiť revitalizáciu závlah a zadržiavanie vody v krajine a modernizáciu a obnovu potravinového dodávateľského reťazca. Plán obnovy však podporu </w:t>
      </w:r>
      <w:proofErr w:type="spellStart"/>
      <w:r w:rsidRPr="00202ED7">
        <w:rPr>
          <w:rFonts w:cstheme="minorHAnsi"/>
        </w:rPr>
        <w:t>agropotravinárstva</w:t>
      </w:r>
      <w:proofErr w:type="spellEnd"/>
      <w:r w:rsidRPr="00202ED7">
        <w:rPr>
          <w:rFonts w:cstheme="minorHAnsi"/>
        </w:rPr>
        <w:t>, resp. vidieka nezahŕňa.   </w:t>
      </w:r>
    </w:p>
    <w:p w14:paraId="752949A8" w14:textId="77777777" w:rsidR="000B44E2" w:rsidRPr="00202ED7" w:rsidRDefault="000B44E2" w:rsidP="005E38F1">
      <w:pPr>
        <w:spacing w:after="0" w:line="240" w:lineRule="auto"/>
        <w:jc w:val="both"/>
        <w:rPr>
          <w:rFonts w:cstheme="minorHAnsi"/>
        </w:rPr>
      </w:pPr>
    </w:p>
    <w:p w14:paraId="4BFBA499" w14:textId="77777777" w:rsidR="00A66CB0" w:rsidRPr="00202ED7" w:rsidRDefault="00A66CB0" w:rsidP="005E38F1">
      <w:pPr>
        <w:spacing w:after="0" w:line="240" w:lineRule="auto"/>
        <w:jc w:val="both"/>
        <w:rPr>
          <w:rFonts w:cstheme="minorHAnsi"/>
        </w:rPr>
      </w:pPr>
    </w:p>
    <w:p w14:paraId="0FE65116" w14:textId="77777777" w:rsidR="00385A78" w:rsidRPr="00202ED7" w:rsidRDefault="00385A78" w:rsidP="005E38F1">
      <w:pPr>
        <w:pStyle w:val="Odsekzoznamu"/>
        <w:numPr>
          <w:ilvl w:val="0"/>
          <w:numId w:val="32"/>
        </w:numPr>
        <w:spacing w:after="0" w:line="240" w:lineRule="auto"/>
        <w:jc w:val="both"/>
        <w:rPr>
          <w:rFonts w:cstheme="minorHAnsi"/>
          <w:b/>
          <w:bCs/>
          <w:shd w:val="clear" w:color="auto" w:fill="FFFFFF"/>
        </w:rPr>
      </w:pPr>
      <w:r w:rsidRPr="00202ED7">
        <w:rPr>
          <w:rFonts w:cstheme="minorHAnsi"/>
          <w:b/>
          <w:bCs/>
          <w:shd w:val="clear" w:color="auto" w:fill="FFFFFF"/>
        </w:rPr>
        <w:t>Pripomienka ku Komponentu 05. Adaptácia na zmenu klímy</w:t>
      </w:r>
      <w:r w:rsidR="00AE0405" w:rsidRPr="00202ED7">
        <w:rPr>
          <w:rFonts w:cstheme="minorHAnsi"/>
          <w:b/>
          <w:bCs/>
          <w:shd w:val="clear" w:color="auto" w:fill="FFFFFF"/>
        </w:rPr>
        <w:t xml:space="preserve"> - zásadná</w:t>
      </w:r>
    </w:p>
    <w:p w14:paraId="11C161C2" w14:textId="77777777" w:rsidR="00CA1F88" w:rsidRPr="00202ED7" w:rsidRDefault="00CA1F88" w:rsidP="005E38F1">
      <w:pPr>
        <w:spacing w:after="0" w:line="240" w:lineRule="auto"/>
        <w:jc w:val="both"/>
        <w:rPr>
          <w:rFonts w:cstheme="minorHAnsi"/>
          <w:b/>
          <w:bCs/>
          <w:shd w:val="clear" w:color="auto" w:fill="FFFFFF"/>
        </w:rPr>
      </w:pPr>
    </w:p>
    <w:p w14:paraId="42CFFBC2" w14:textId="77777777" w:rsidR="00CA1F88" w:rsidRPr="00202ED7" w:rsidRDefault="00CA1F88" w:rsidP="005E38F1">
      <w:pPr>
        <w:spacing w:after="0" w:line="240" w:lineRule="auto"/>
        <w:jc w:val="both"/>
        <w:rPr>
          <w:rFonts w:cstheme="minorHAnsi"/>
          <w:b/>
          <w:bCs/>
          <w:shd w:val="clear" w:color="auto" w:fill="FFFFFF"/>
        </w:rPr>
      </w:pPr>
      <w:r w:rsidRPr="00202ED7">
        <w:rPr>
          <w:rFonts w:cstheme="minorHAnsi"/>
          <w:b/>
          <w:bCs/>
          <w:shd w:val="clear" w:color="auto" w:fill="FFFFFF"/>
        </w:rPr>
        <w:t>Požadujeme upraviť Komponent 05. Adaptácia na zmenu klímy, tak aby zohľadnil dôležitú úlohu poľnohospodárstva a potravinárstva pri napĺňaní cieľov v oblasti zmeny klímy a biodiverzity.</w:t>
      </w:r>
    </w:p>
    <w:p w14:paraId="3FFA28BA" w14:textId="77777777" w:rsidR="00CA1F88" w:rsidRPr="00202ED7" w:rsidRDefault="00CA1F88" w:rsidP="005E38F1">
      <w:pPr>
        <w:spacing w:after="0" w:line="240" w:lineRule="auto"/>
        <w:jc w:val="both"/>
        <w:rPr>
          <w:rFonts w:cstheme="minorHAnsi"/>
          <w:b/>
          <w:bCs/>
          <w:shd w:val="clear" w:color="auto" w:fill="FFFFFF"/>
        </w:rPr>
      </w:pPr>
    </w:p>
    <w:p w14:paraId="7AF94CF2" w14:textId="77777777" w:rsidR="00CA1F88" w:rsidRPr="00202ED7" w:rsidRDefault="00CA1F88" w:rsidP="005E38F1">
      <w:pPr>
        <w:spacing w:after="0" w:line="240" w:lineRule="auto"/>
        <w:jc w:val="both"/>
        <w:rPr>
          <w:rFonts w:cstheme="minorHAnsi"/>
          <w:b/>
          <w:bCs/>
          <w:shd w:val="clear" w:color="auto" w:fill="FFFFFF"/>
        </w:rPr>
      </w:pPr>
      <w:r w:rsidRPr="00202ED7">
        <w:rPr>
          <w:rFonts w:cstheme="minorHAnsi"/>
          <w:b/>
          <w:bCs/>
          <w:shd w:val="clear" w:color="auto" w:fill="FFFFFF"/>
        </w:rPr>
        <w:t xml:space="preserve">Navrhujeme v prípade Slovenskej republiky zvoliť aj aktívne opatrenia prevencie sucha a povodní (nielen pasívny útlm ťažby dreva a rozvoj ochrany prírody) a protierózne opatrenia aj na inej ako lesnej pôde (nielen obnova lesov zalesnením). Eróziu a prevenciu sucha a povodní nepostačuje riešiť </w:t>
      </w:r>
      <w:r w:rsidRPr="00202ED7">
        <w:rPr>
          <w:rFonts w:cstheme="minorHAnsi"/>
          <w:b/>
          <w:bCs/>
          <w:shd w:val="clear" w:color="auto" w:fill="FFFFFF"/>
        </w:rPr>
        <w:lastRenderedPageBreak/>
        <w:t xml:space="preserve">na lesnej pôde. Vzhľadom na vysokú rozlohu chránených území, nízku intenzitu obhospodarovania pôdy (vrátane lesov) a zachovania produkčnej schopnosti poľnohospodárskej a lesnej pôdy do budúcnosti vzhľadom na klimatické zmeny  by plán obnovy mal riešiť prevenciu sucha a povodní aktívne - v rámci poľnohospodárskej a lesnej činnosti: </w:t>
      </w:r>
      <w:proofErr w:type="spellStart"/>
      <w:r w:rsidRPr="00202ED7">
        <w:rPr>
          <w:rFonts w:cstheme="minorHAnsi"/>
          <w:b/>
          <w:bCs/>
          <w:shd w:val="clear" w:color="auto" w:fill="FFFFFF"/>
        </w:rPr>
        <w:t>vodozádržné</w:t>
      </w:r>
      <w:proofErr w:type="spellEnd"/>
      <w:r w:rsidRPr="00202ED7">
        <w:rPr>
          <w:rFonts w:cstheme="minorHAnsi"/>
          <w:b/>
          <w:bCs/>
          <w:shd w:val="clear" w:color="auto" w:fill="FFFFFF"/>
        </w:rPr>
        <w:t xml:space="preserve"> opatrenia, závlahy, </w:t>
      </w:r>
      <w:proofErr w:type="spellStart"/>
      <w:r w:rsidRPr="00202ED7">
        <w:rPr>
          <w:rFonts w:cstheme="minorHAnsi"/>
          <w:b/>
          <w:bCs/>
          <w:shd w:val="clear" w:color="auto" w:fill="FFFFFF"/>
        </w:rPr>
        <w:t>hydromeliorácie</w:t>
      </w:r>
      <w:proofErr w:type="spellEnd"/>
      <w:r w:rsidRPr="00202ED7">
        <w:rPr>
          <w:rFonts w:cstheme="minorHAnsi"/>
          <w:b/>
          <w:bCs/>
          <w:shd w:val="clear" w:color="auto" w:fill="FFFFFF"/>
        </w:rPr>
        <w:t xml:space="preserve">, budovanie krajinných prvkov (protierózne prvky, malé vodné útvary, mokrade atď.), udržateľný manažment lesov. </w:t>
      </w:r>
    </w:p>
    <w:p w14:paraId="4909D6E6" w14:textId="77777777" w:rsidR="00CA1F88" w:rsidRPr="00202ED7" w:rsidRDefault="00CA1F88" w:rsidP="005E38F1">
      <w:pPr>
        <w:spacing w:after="0" w:line="240" w:lineRule="auto"/>
        <w:jc w:val="both"/>
        <w:rPr>
          <w:rFonts w:cstheme="minorHAnsi"/>
          <w:b/>
          <w:bCs/>
          <w:shd w:val="clear" w:color="auto" w:fill="FFFFFF"/>
        </w:rPr>
      </w:pPr>
    </w:p>
    <w:p w14:paraId="1986207B" w14:textId="77777777" w:rsidR="00CA1F88" w:rsidRPr="00202ED7" w:rsidRDefault="00CA1F88" w:rsidP="005E38F1">
      <w:pPr>
        <w:spacing w:after="0" w:line="240" w:lineRule="auto"/>
        <w:jc w:val="both"/>
        <w:rPr>
          <w:rFonts w:cstheme="minorHAnsi"/>
          <w:b/>
          <w:bCs/>
          <w:shd w:val="clear" w:color="auto" w:fill="FFFFFF"/>
        </w:rPr>
      </w:pPr>
      <w:r w:rsidRPr="00202ED7">
        <w:rPr>
          <w:rFonts w:cstheme="minorHAnsi"/>
          <w:b/>
          <w:bCs/>
        </w:rPr>
        <w:t>V oblasti prepojenia potravinárskej výroby s požiadavkami Zelenej dohody a v súvislosti s adaptáciou na zmenu klímy je potrebné investovať do výstavby nových čističiek odpadových vôd, do šetrenia vody, ekologizácie obalov, ekologickej likvidácie odpadov, či bezobalového ekologického predaja a pod.</w:t>
      </w:r>
    </w:p>
    <w:p w14:paraId="4998C9E0" w14:textId="77777777" w:rsidR="00CA1F88" w:rsidRPr="00202ED7" w:rsidRDefault="00CA1F88" w:rsidP="005E38F1">
      <w:pPr>
        <w:spacing w:after="0" w:line="240" w:lineRule="auto"/>
        <w:jc w:val="both"/>
        <w:rPr>
          <w:rFonts w:cstheme="minorHAnsi"/>
          <w:b/>
          <w:bCs/>
          <w:shd w:val="clear" w:color="auto" w:fill="FFFFFF"/>
        </w:rPr>
      </w:pPr>
    </w:p>
    <w:p w14:paraId="05858340" w14:textId="77777777" w:rsidR="00CA1F88" w:rsidRPr="00202ED7" w:rsidRDefault="00CA1F88" w:rsidP="005E38F1">
      <w:pPr>
        <w:spacing w:after="0" w:line="240" w:lineRule="auto"/>
        <w:jc w:val="both"/>
        <w:rPr>
          <w:rFonts w:cstheme="minorHAnsi"/>
          <w:b/>
          <w:bCs/>
          <w:shd w:val="clear" w:color="auto" w:fill="FFFFFF"/>
        </w:rPr>
      </w:pPr>
      <w:r w:rsidRPr="00202ED7">
        <w:rPr>
          <w:rFonts w:cstheme="minorHAnsi"/>
          <w:b/>
          <w:bCs/>
          <w:shd w:val="clear" w:color="auto" w:fill="FFFFFF"/>
        </w:rPr>
        <w:t>Za  rovnako dôležité považujeme dopracovanie investície „1. Adaptácia regiónov na klimatickú zmenu s dôrazom na ochranu prírody a rozvoj biodiverzity“ o podporu pozemkových úprav na území Slovenskej republiky, nakoľko v pláne obnovy absentujú pozemkové úpravy s </w:t>
      </w:r>
      <w:proofErr w:type="spellStart"/>
      <w:r w:rsidRPr="00202ED7">
        <w:rPr>
          <w:rFonts w:cstheme="minorHAnsi"/>
          <w:b/>
          <w:bCs/>
          <w:shd w:val="clear" w:color="auto" w:fill="FFFFFF"/>
        </w:rPr>
        <w:t>krajinotvorbou</w:t>
      </w:r>
      <w:proofErr w:type="spellEnd"/>
      <w:r w:rsidRPr="00202ED7">
        <w:rPr>
          <w:rFonts w:cstheme="minorHAnsi"/>
          <w:b/>
          <w:bCs/>
          <w:shd w:val="clear" w:color="auto" w:fill="FFFFFF"/>
        </w:rPr>
        <w:t xml:space="preserve">, ktoré sú nevyhnutným predpokladom a efektívnym nástrojom prevencie erózie, sucha a povodní. </w:t>
      </w:r>
    </w:p>
    <w:p w14:paraId="6E08DECD" w14:textId="77777777" w:rsidR="00CA1F88" w:rsidRPr="00202ED7" w:rsidRDefault="00CA1F88" w:rsidP="005E38F1">
      <w:pPr>
        <w:spacing w:after="0" w:line="240" w:lineRule="auto"/>
        <w:jc w:val="both"/>
        <w:rPr>
          <w:rFonts w:cstheme="minorHAnsi"/>
          <w:b/>
          <w:bCs/>
          <w:shd w:val="clear" w:color="auto" w:fill="FFFFFF"/>
        </w:rPr>
      </w:pPr>
    </w:p>
    <w:p w14:paraId="65585349" w14:textId="77777777" w:rsidR="00CA1F88" w:rsidRPr="00202ED7" w:rsidRDefault="00CA1F88" w:rsidP="005E38F1">
      <w:pPr>
        <w:spacing w:after="0" w:line="240" w:lineRule="auto"/>
        <w:jc w:val="both"/>
        <w:rPr>
          <w:rFonts w:cstheme="minorHAnsi"/>
          <w:shd w:val="clear" w:color="auto" w:fill="FFFFFF"/>
        </w:rPr>
      </w:pPr>
      <w:r w:rsidRPr="00202ED7">
        <w:rPr>
          <w:rFonts w:cstheme="minorHAnsi"/>
          <w:shd w:val="clear" w:color="auto" w:fill="FFFFFF"/>
        </w:rPr>
        <w:t xml:space="preserve">Odôvodnenie: </w:t>
      </w:r>
    </w:p>
    <w:p w14:paraId="087FF841" w14:textId="77777777" w:rsidR="00385A78" w:rsidRPr="00202ED7" w:rsidRDefault="00385A78" w:rsidP="005E38F1">
      <w:pPr>
        <w:spacing w:after="0" w:line="240" w:lineRule="auto"/>
        <w:jc w:val="both"/>
        <w:rPr>
          <w:rFonts w:cstheme="minorHAnsi"/>
          <w:shd w:val="clear" w:color="auto" w:fill="FFFFFF"/>
        </w:rPr>
      </w:pPr>
      <w:r w:rsidRPr="00202ED7">
        <w:rPr>
          <w:rFonts w:cstheme="minorHAnsi"/>
          <w:shd w:val="clear" w:color="auto" w:fill="FFFFFF"/>
        </w:rPr>
        <w:t xml:space="preserve">Riešenie klimatickej a environmentálnej krízy je rozhodujúcou výzvou našej doby a zároveň príležitosťou na udržateľné oživenie ekonomík. Cieľom je zachovanie produkčného potenciálu krajiny vzhľadom na klimatické zmeny a dopady pandémie. </w:t>
      </w:r>
    </w:p>
    <w:p w14:paraId="30639C32" w14:textId="77777777" w:rsidR="00385A78" w:rsidRPr="00202ED7" w:rsidRDefault="00385A78" w:rsidP="005E38F1">
      <w:pPr>
        <w:spacing w:after="0" w:line="240" w:lineRule="auto"/>
        <w:jc w:val="both"/>
        <w:rPr>
          <w:rFonts w:cstheme="minorHAnsi"/>
          <w:shd w:val="clear" w:color="auto" w:fill="FFFFFF"/>
        </w:rPr>
      </w:pPr>
    </w:p>
    <w:p w14:paraId="786C080C" w14:textId="66976D1C" w:rsidR="00385A78" w:rsidRPr="00202ED7" w:rsidRDefault="00385A78" w:rsidP="005E38F1">
      <w:pPr>
        <w:spacing w:after="0" w:line="240" w:lineRule="auto"/>
        <w:jc w:val="both"/>
        <w:rPr>
          <w:rFonts w:cstheme="minorHAnsi"/>
          <w:shd w:val="clear" w:color="auto" w:fill="FFFFFF"/>
        </w:rPr>
      </w:pPr>
      <w:r w:rsidRPr="00202ED7">
        <w:rPr>
          <w:rFonts w:cstheme="minorHAnsi"/>
          <w:shd w:val="clear" w:color="auto" w:fill="FFFFFF"/>
        </w:rPr>
        <w:t xml:space="preserve">Slovenské poľnohospodárstvo a potravinárstvo má významnú produkčnú medzeru. Zaostávame za priemerom EU v produkcii aj produktivite </w:t>
      </w:r>
      <w:r w:rsidR="00202ED7" w:rsidRPr="00202ED7">
        <w:rPr>
          <w:rFonts w:cstheme="minorHAnsi"/>
          <w:shd w:val="clear" w:color="auto" w:fill="FFFFFF"/>
        </w:rPr>
        <w:t>čím je o</w:t>
      </w:r>
      <w:r w:rsidRPr="00202ED7">
        <w:rPr>
          <w:rFonts w:cstheme="minorHAnsi"/>
          <w:shd w:val="clear" w:color="auto" w:fill="FFFFFF"/>
        </w:rPr>
        <w:t xml:space="preserve">hrozená potravinová bezpečnosť, zanedbaná ekológia a vzhľad krajiny, úpadok vidieka. Rastový potenciál </w:t>
      </w:r>
      <w:r w:rsidR="00202ED7" w:rsidRPr="00202ED7">
        <w:rPr>
          <w:rFonts w:cstheme="minorHAnsi"/>
          <w:shd w:val="clear" w:color="auto" w:fill="FFFFFF"/>
        </w:rPr>
        <w:t xml:space="preserve">agropotravinárskeho </w:t>
      </w:r>
      <w:r w:rsidRPr="00202ED7">
        <w:rPr>
          <w:rFonts w:cstheme="minorHAnsi"/>
          <w:shd w:val="clear" w:color="auto" w:fill="FFFFFF"/>
        </w:rPr>
        <w:t xml:space="preserve">odvetvia je preto významný.  </w:t>
      </w:r>
    </w:p>
    <w:p w14:paraId="637DA50D" w14:textId="77777777" w:rsidR="00385A78" w:rsidRPr="00202ED7" w:rsidRDefault="00385A78" w:rsidP="005E38F1">
      <w:pPr>
        <w:spacing w:after="0" w:line="240" w:lineRule="auto"/>
        <w:jc w:val="both"/>
        <w:rPr>
          <w:rFonts w:cstheme="minorHAnsi"/>
          <w:shd w:val="clear" w:color="auto" w:fill="FFFFFF"/>
        </w:rPr>
      </w:pPr>
    </w:p>
    <w:p w14:paraId="6631C4C1" w14:textId="77777777" w:rsidR="003B6000" w:rsidRPr="00202ED7" w:rsidRDefault="003B6000" w:rsidP="005E38F1">
      <w:pPr>
        <w:spacing w:after="0" w:line="240" w:lineRule="auto"/>
        <w:jc w:val="both"/>
        <w:rPr>
          <w:rFonts w:cstheme="minorHAnsi"/>
          <w:shd w:val="clear" w:color="auto" w:fill="FFFFFF"/>
        </w:rPr>
      </w:pPr>
      <w:r w:rsidRPr="00202ED7">
        <w:rPr>
          <w:rFonts w:cstheme="minorHAnsi"/>
          <w:shd w:val="clear" w:color="auto" w:fill="FFFFFF"/>
        </w:rPr>
        <w:t>Riešenie klimatickej a environmentálnej krízy a adaptácia na zmenu klímy sú významne spojené so zabezpečením  potravinovej sebestačnosti štátu najmä prostredníctvom environmentálnych technológií potravinárskej výroby, ekologizácie obalových materiálov a ochrany a šetrenia vodou. Potreby potravinárskeho priemyslu v oblasti prepojenia na požiadavky Zelenej dohody a adaptácie na zmenu klímy boli zadefinované cez dotazník k príprave komplexnej informačnej databáze pre účely zefektívnenia potravinárskej výroby, ktorý si nechalo vypracovať MPRV SR.</w:t>
      </w:r>
      <w:r w:rsidRPr="00202ED7">
        <w:rPr>
          <w:rFonts w:cstheme="minorHAnsi"/>
        </w:rPr>
        <w:t xml:space="preserve"> </w:t>
      </w:r>
      <w:r w:rsidRPr="00202ED7">
        <w:rPr>
          <w:rFonts w:cstheme="minorHAnsi"/>
          <w:shd w:val="clear" w:color="auto" w:fill="FFFFFF"/>
        </w:rPr>
        <w:t xml:space="preserve">  </w:t>
      </w:r>
    </w:p>
    <w:p w14:paraId="1E560292" w14:textId="77777777" w:rsidR="003B6000" w:rsidRPr="00202ED7" w:rsidRDefault="003B6000" w:rsidP="005E38F1">
      <w:pPr>
        <w:spacing w:after="0" w:line="240" w:lineRule="auto"/>
        <w:jc w:val="both"/>
        <w:rPr>
          <w:rFonts w:cstheme="minorHAnsi"/>
          <w:shd w:val="clear" w:color="auto" w:fill="FFFFFF"/>
        </w:rPr>
      </w:pPr>
    </w:p>
    <w:p w14:paraId="64AD6870" w14:textId="77777777" w:rsidR="003B6000" w:rsidRPr="00202ED7" w:rsidRDefault="00385A78" w:rsidP="005E38F1">
      <w:pPr>
        <w:spacing w:after="0" w:line="240" w:lineRule="auto"/>
        <w:jc w:val="both"/>
        <w:rPr>
          <w:rFonts w:cstheme="minorHAnsi"/>
          <w:i/>
          <w:iCs/>
          <w:shd w:val="clear" w:color="auto" w:fill="FFFFFF"/>
        </w:rPr>
      </w:pPr>
      <w:r w:rsidRPr="00202ED7">
        <w:rPr>
          <w:rFonts w:cstheme="minorHAnsi"/>
          <w:shd w:val="clear" w:color="auto" w:fill="FFFFFF"/>
        </w:rPr>
        <w:t xml:space="preserve">V rámci komponentu 5 je medzi hlavnými výzvami viackrát spomenutý nedostatok vody – čo je označené za „veľkú výzvu“ a "kľúčový problém“. So suchom budú zápasiť predovšetkým poľnohospodári, čo je konštatované aj v samotnom texte: </w:t>
      </w:r>
      <w:r w:rsidRPr="00202ED7">
        <w:rPr>
          <w:rFonts w:cstheme="minorHAnsi"/>
          <w:i/>
          <w:iCs/>
          <w:shd w:val="clear" w:color="auto" w:fill="FFFFFF"/>
        </w:rPr>
        <w:t>„Čoraz častejšie sucho na ornej pôde spôsobuje straty na výnosoch plodín. Zvyšovanie teploty, vyšší výpar a dlhšie obdobia sucha budú bez adaptačných opatrení znamenať ohrozenie pre domáce poľnohospodárstvo. Opačným aspektom sú očakávané vyššie škody z povodní, tiež v dôsledku klimatickej zmeny.</w:t>
      </w:r>
      <w:r w:rsidR="00942627" w:rsidRPr="00202ED7">
        <w:rPr>
          <w:rFonts w:cstheme="minorHAnsi"/>
          <w:i/>
          <w:iCs/>
          <w:shd w:val="clear" w:color="auto" w:fill="FFFFFF"/>
        </w:rPr>
        <w:t>....Poľnohospodárstvo je zásadne ohrozené suchami a nedostatkom vody, dôsledkom čoho bude horšia úroda, ktorá sa prejaví naprieč EÚ a na Slovensku. Juh Európy už dnes pociťuje nepriaznivé dôsledky zmeny klímy výraznejšie ako sever, v budúcnosti sa tento trend bude prehlbovať. Do roku 2100 môže úroda priemerne klesnúť o 5% na severe Európy a o 10% na juhu.</w:t>
      </w:r>
      <w:r w:rsidR="007C0F27" w:rsidRPr="00202ED7">
        <w:rPr>
          <w:rFonts w:cstheme="minorHAnsi"/>
          <w:i/>
          <w:iCs/>
          <w:shd w:val="clear" w:color="auto" w:fill="FFFFFF"/>
        </w:rPr>
        <w:t xml:space="preserve">“ </w:t>
      </w:r>
    </w:p>
    <w:p w14:paraId="6B8C82E0" w14:textId="77777777" w:rsidR="003B6000" w:rsidRPr="00202ED7" w:rsidRDefault="003B6000" w:rsidP="005E38F1">
      <w:pPr>
        <w:spacing w:after="0" w:line="240" w:lineRule="auto"/>
        <w:jc w:val="both"/>
        <w:rPr>
          <w:rFonts w:cstheme="minorHAnsi"/>
          <w:i/>
          <w:iCs/>
          <w:shd w:val="clear" w:color="auto" w:fill="FFFFFF"/>
        </w:rPr>
      </w:pPr>
    </w:p>
    <w:p w14:paraId="0885C4B0" w14:textId="77777777" w:rsidR="007C0F27" w:rsidRPr="00202ED7" w:rsidRDefault="007C0F27" w:rsidP="005E38F1">
      <w:pPr>
        <w:spacing w:after="0" w:line="240" w:lineRule="auto"/>
        <w:jc w:val="both"/>
        <w:rPr>
          <w:rFonts w:cstheme="minorHAnsi"/>
          <w:shd w:val="clear" w:color="auto" w:fill="FFFFFF"/>
        </w:rPr>
      </w:pPr>
      <w:r w:rsidRPr="00202ED7">
        <w:rPr>
          <w:rFonts w:cstheme="minorHAnsi"/>
          <w:shd w:val="clear" w:color="auto" w:fill="FFFFFF"/>
        </w:rPr>
        <w:t xml:space="preserve">Z návrhu </w:t>
      </w:r>
      <w:r w:rsidR="009D38E7" w:rsidRPr="00202ED7">
        <w:rPr>
          <w:rFonts w:cstheme="minorHAnsi"/>
          <w:shd w:val="clear" w:color="auto" w:fill="FFFFFF"/>
        </w:rPr>
        <w:t>súčasne</w:t>
      </w:r>
      <w:r w:rsidRPr="00202ED7">
        <w:rPr>
          <w:rFonts w:cstheme="minorHAnsi"/>
          <w:shd w:val="clear" w:color="auto" w:fill="FFFFFF"/>
        </w:rPr>
        <w:t xml:space="preserve"> vyplýva, že škody spôsobené v dôsledku sucha a nedostatku vody budú pre poľnohospodárstvo výrazne vyššie ako pre lesné hospodárstvo (predkladateľ deklaruje </w:t>
      </w:r>
      <w:r w:rsidR="009D38E7" w:rsidRPr="00202ED7">
        <w:rPr>
          <w:rFonts w:cstheme="minorHAnsi"/>
          <w:shd w:val="clear" w:color="auto" w:fill="FFFFFF"/>
        </w:rPr>
        <w:t xml:space="preserve">do roku 2080 </w:t>
      </w:r>
      <w:r w:rsidRPr="00202ED7">
        <w:rPr>
          <w:rFonts w:cstheme="minorHAnsi"/>
          <w:shd w:val="clear" w:color="auto" w:fill="FFFFFF"/>
        </w:rPr>
        <w:t>straty pre poľnohospodárstvo</w:t>
      </w:r>
      <w:r w:rsidR="009D38E7" w:rsidRPr="00202ED7">
        <w:rPr>
          <w:rFonts w:cstheme="minorHAnsi"/>
          <w:shd w:val="clear" w:color="auto" w:fill="FFFFFF"/>
        </w:rPr>
        <w:t xml:space="preserve"> </w:t>
      </w:r>
      <w:r w:rsidRPr="00202ED7">
        <w:rPr>
          <w:rFonts w:cstheme="minorHAnsi"/>
          <w:shd w:val="clear" w:color="auto" w:fill="FFFFFF"/>
        </w:rPr>
        <w:t>vo výške 236 mil. ročne</w:t>
      </w:r>
      <w:r w:rsidR="009D38E7" w:rsidRPr="00202ED7">
        <w:rPr>
          <w:rFonts w:cstheme="minorHAnsi"/>
          <w:shd w:val="clear" w:color="auto" w:fill="FFFFFF"/>
        </w:rPr>
        <w:t xml:space="preserve"> a straty pre lesné hospodárstvo</w:t>
      </w:r>
      <w:r w:rsidRPr="00202ED7">
        <w:rPr>
          <w:rFonts w:cstheme="minorHAnsi"/>
          <w:shd w:val="clear" w:color="auto" w:fill="FFFFFF"/>
        </w:rPr>
        <w:t xml:space="preserve"> vo výške 17 mil. ročne).</w:t>
      </w:r>
    </w:p>
    <w:p w14:paraId="0ED74A6A" w14:textId="77777777" w:rsidR="009D38E7" w:rsidRPr="00202ED7" w:rsidRDefault="009D38E7" w:rsidP="005E38F1">
      <w:pPr>
        <w:spacing w:after="0" w:line="240" w:lineRule="auto"/>
        <w:jc w:val="both"/>
        <w:rPr>
          <w:rFonts w:cstheme="minorHAnsi"/>
          <w:shd w:val="clear" w:color="auto" w:fill="FFFFFF"/>
        </w:rPr>
      </w:pPr>
    </w:p>
    <w:p w14:paraId="744E7A01" w14:textId="77777777" w:rsidR="00942627" w:rsidRPr="00202ED7" w:rsidRDefault="00942627" w:rsidP="005E38F1">
      <w:pPr>
        <w:spacing w:after="0" w:line="240" w:lineRule="auto"/>
        <w:jc w:val="both"/>
        <w:rPr>
          <w:rFonts w:cstheme="minorHAnsi"/>
          <w:shd w:val="clear" w:color="auto" w:fill="FFFFFF"/>
        </w:rPr>
      </w:pPr>
      <w:r w:rsidRPr="00202ED7">
        <w:rPr>
          <w:rFonts w:cstheme="minorHAnsi"/>
          <w:shd w:val="clear" w:color="auto" w:fill="FFFFFF"/>
        </w:rPr>
        <w:lastRenderedPageBreak/>
        <w:t xml:space="preserve">Predkladateľ v návrhu </w:t>
      </w:r>
      <w:r w:rsidR="009D38E7" w:rsidRPr="00202ED7">
        <w:rPr>
          <w:rFonts w:cstheme="minorHAnsi"/>
          <w:shd w:val="clear" w:color="auto" w:fill="FFFFFF"/>
        </w:rPr>
        <w:t>taktiež</w:t>
      </w:r>
      <w:r w:rsidRPr="00202ED7">
        <w:rPr>
          <w:rFonts w:cstheme="minorHAnsi"/>
          <w:shd w:val="clear" w:color="auto" w:fill="FFFFFF"/>
        </w:rPr>
        <w:t xml:space="preserve"> konštatuje, že nielen nevhodné hospodárenie v lesoch, ale aj na poľnohospodárskej pôde spôsobuje zrýchlený odtok vody z územia, čo zvyšuje riziko povodní, erózie a zanášania vodných nádrží a tokov sedimentmi.</w:t>
      </w:r>
    </w:p>
    <w:p w14:paraId="01AB6CBB" w14:textId="77777777" w:rsidR="00942627" w:rsidRPr="00202ED7" w:rsidRDefault="00942627" w:rsidP="005E38F1">
      <w:pPr>
        <w:spacing w:after="0" w:line="240" w:lineRule="auto"/>
        <w:jc w:val="both"/>
        <w:rPr>
          <w:rFonts w:cstheme="minorHAnsi"/>
          <w:shd w:val="clear" w:color="auto" w:fill="FFFFFF"/>
        </w:rPr>
      </w:pPr>
    </w:p>
    <w:p w14:paraId="2876F8DC" w14:textId="77777777" w:rsidR="00DE5445" w:rsidRPr="00202ED7" w:rsidRDefault="00385A78" w:rsidP="005E38F1">
      <w:pPr>
        <w:spacing w:after="0" w:line="240" w:lineRule="auto"/>
        <w:jc w:val="both"/>
        <w:rPr>
          <w:rFonts w:cstheme="minorHAnsi"/>
          <w:shd w:val="clear" w:color="auto" w:fill="FFFFFF"/>
        </w:rPr>
      </w:pPr>
      <w:r w:rsidRPr="00202ED7">
        <w:rPr>
          <w:rFonts w:cstheme="minorHAnsi"/>
          <w:shd w:val="clear" w:color="auto" w:fill="FFFFFF"/>
        </w:rPr>
        <w:t xml:space="preserve">V tomto smere však v pláne obnovy úplne absentujú akékoľvek konkrétne riešenia v podobe vhodných </w:t>
      </w:r>
      <w:proofErr w:type="spellStart"/>
      <w:r w:rsidRPr="00202ED7">
        <w:rPr>
          <w:rFonts w:cstheme="minorHAnsi"/>
          <w:shd w:val="clear" w:color="auto" w:fill="FFFFFF"/>
        </w:rPr>
        <w:t>vodozádržných</w:t>
      </w:r>
      <w:proofErr w:type="spellEnd"/>
      <w:r w:rsidRPr="00202ED7">
        <w:rPr>
          <w:rFonts w:cstheme="minorHAnsi"/>
          <w:shd w:val="clear" w:color="auto" w:fill="FFFFFF"/>
        </w:rPr>
        <w:t xml:space="preserve"> opatrení, revitalizácie </w:t>
      </w:r>
      <w:proofErr w:type="spellStart"/>
      <w:r w:rsidRPr="00202ED7">
        <w:rPr>
          <w:rFonts w:cstheme="minorHAnsi"/>
          <w:shd w:val="clear" w:color="auto" w:fill="FFFFFF"/>
        </w:rPr>
        <w:t>hydromelioračných</w:t>
      </w:r>
      <w:proofErr w:type="spellEnd"/>
      <w:r w:rsidRPr="00202ED7">
        <w:rPr>
          <w:rFonts w:cstheme="minorHAnsi"/>
          <w:shd w:val="clear" w:color="auto" w:fill="FFFFFF"/>
        </w:rPr>
        <w:t xml:space="preserve"> sústav a závlahových systémov či nástrojov riadenia rizika v poľnohospodárstve. Útlm ťažby dreva a rozvoj ochrany prírody je v tomto smere značne nedostatočný zásah. Sme názoru, že vodu nestačí v krajine zadržať, ale treba ju aj efektívne a udržateľne využívať.  </w:t>
      </w:r>
    </w:p>
    <w:p w14:paraId="0C77D6EC" w14:textId="77777777" w:rsidR="008F5517" w:rsidRPr="00202ED7" w:rsidRDefault="008F5517" w:rsidP="005E38F1">
      <w:pPr>
        <w:shd w:val="clear" w:color="auto" w:fill="FFFFFF" w:themeFill="background1"/>
        <w:spacing w:after="0" w:line="240" w:lineRule="auto"/>
        <w:jc w:val="both"/>
        <w:rPr>
          <w:rFonts w:cstheme="minorHAnsi"/>
          <w:b/>
          <w:bCs/>
          <w:shd w:val="clear" w:color="auto" w:fill="FFFFFF"/>
        </w:rPr>
      </w:pPr>
    </w:p>
    <w:p w14:paraId="6C7CCFBB" w14:textId="77777777" w:rsidR="008F5517" w:rsidRPr="00202ED7" w:rsidRDefault="008F5517" w:rsidP="005E38F1">
      <w:pPr>
        <w:pStyle w:val="Odsekzoznamu"/>
        <w:numPr>
          <w:ilvl w:val="0"/>
          <w:numId w:val="32"/>
        </w:numPr>
        <w:spacing w:after="0" w:line="240" w:lineRule="auto"/>
        <w:jc w:val="both"/>
        <w:rPr>
          <w:rFonts w:cstheme="minorHAnsi"/>
          <w:b/>
          <w:bCs/>
          <w:shd w:val="clear" w:color="auto" w:fill="FFFFFF"/>
        </w:rPr>
      </w:pPr>
      <w:r w:rsidRPr="00202ED7">
        <w:rPr>
          <w:rFonts w:cstheme="minorHAnsi"/>
          <w:b/>
          <w:bCs/>
          <w:shd w:val="clear" w:color="auto" w:fill="FFFFFF"/>
        </w:rPr>
        <w:t>Pripomienka ku komponentu 02. Obnova budov a komponentu 17. Digitálne Slovensko</w:t>
      </w:r>
      <w:r w:rsidR="00A66CB0" w:rsidRPr="00202ED7">
        <w:rPr>
          <w:rFonts w:cstheme="minorHAnsi"/>
          <w:b/>
          <w:bCs/>
          <w:shd w:val="clear" w:color="auto" w:fill="FFFFFF"/>
        </w:rPr>
        <w:t xml:space="preserve"> - zásadná</w:t>
      </w:r>
    </w:p>
    <w:p w14:paraId="0B3A3B63" w14:textId="77777777" w:rsidR="008F5517" w:rsidRPr="00202ED7" w:rsidRDefault="008F5517" w:rsidP="005E38F1">
      <w:pPr>
        <w:pStyle w:val="Normlnywebov"/>
        <w:spacing w:before="0" w:beforeAutospacing="0" w:after="0" w:afterAutospacing="0"/>
        <w:jc w:val="both"/>
        <w:rPr>
          <w:rFonts w:asciiTheme="minorHAnsi" w:eastAsiaTheme="minorHAnsi" w:hAnsiTheme="minorHAnsi" w:cstheme="minorHAnsi"/>
          <w:b/>
          <w:bCs/>
          <w:sz w:val="22"/>
          <w:szCs w:val="22"/>
          <w:lang w:eastAsia="en-US"/>
        </w:rPr>
      </w:pPr>
    </w:p>
    <w:p w14:paraId="54050195" w14:textId="77777777" w:rsidR="008F5517" w:rsidRPr="00202ED7" w:rsidRDefault="008F5517" w:rsidP="005E38F1">
      <w:pPr>
        <w:pStyle w:val="Normlnywebov"/>
        <w:spacing w:before="0" w:beforeAutospacing="0" w:after="0" w:afterAutospacing="0"/>
        <w:jc w:val="both"/>
        <w:rPr>
          <w:rFonts w:asciiTheme="minorHAnsi" w:eastAsiaTheme="minorHAnsi" w:hAnsiTheme="minorHAnsi" w:cstheme="minorHAnsi"/>
          <w:b/>
          <w:bCs/>
          <w:sz w:val="22"/>
          <w:szCs w:val="22"/>
          <w:lang w:eastAsia="en-US"/>
        </w:rPr>
      </w:pPr>
      <w:r w:rsidRPr="00202ED7">
        <w:rPr>
          <w:rFonts w:asciiTheme="minorHAnsi" w:eastAsiaTheme="minorHAnsi" w:hAnsiTheme="minorHAnsi" w:cstheme="minorHAnsi"/>
          <w:b/>
          <w:bCs/>
          <w:sz w:val="22"/>
          <w:szCs w:val="22"/>
          <w:lang w:eastAsia="en-US"/>
        </w:rPr>
        <w:t xml:space="preserve">Požadujeme upraviť Komponent 02. Obnova budov a komponent 17. Digitálne Slovensko tak, aby zohľadnili dôležitú úlohu potravinárstva v obnove ekonomiky krajiny SR. Požadujeme doplniť alokáciu zdrojov na priamu podporu firiem potravinárskeho priemyslu, a to formou pôžičiek alebo formou grantov so zameraním na podporu a budovanie odolnosti potravinárskeho priemyslu.    </w:t>
      </w:r>
    </w:p>
    <w:p w14:paraId="5F1A88F1" w14:textId="77777777" w:rsidR="008F5517" w:rsidRPr="00202ED7" w:rsidRDefault="008F5517" w:rsidP="005E38F1">
      <w:pPr>
        <w:pStyle w:val="Normlnywebov"/>
        <w:spacing w:before="0" w:beforeAutospacing="0" w:after="0" w:afterAutospacing="0"/>
        <w:jc w:val="both"/>
        <w:rPr>
          <w:rFonts w:asciiTheme="minorHAnsi" w:eastAsiaTheme="minorHAnsi" w:hAnsiTheme="minorHAnsi" w:cstheme="minorHAnsi"/>
          <w:b/>
          <w:bCs/>
          <w:sz w:val="22"/>
          <w:szCs w:val="22"/>
          <w:lang w:eastAsia="en-US"/>
        </w:rPr>
      </w:pPr>
    </w:p>
    <w:p w14:paraId="18048143" w14:textId="77777777" w:rsidR="007E1D97" w:rsidRPr="00202ED7" w:rsidRDefault="008F5517" w:rsidP="005E38F1">
      <w:pPr>
        <w:pStyle w:val="Normlnywebov"/>
        <w:spacing w:before="0" w:beforeAutospacing="0" w:after="0" w:afterAutospacing="0"/>
        <w:jc w:val="both"/>
        <w:rPr>
          <w:rFonts w:asciiTheme="minorHAnsi" w:eastAsiaTheme="minorHAnsi" w:hAnsiTheme="minorHAnsi" w:cstheme="minorHAnsi"/>
          <w:sz w:val="22"/>
          <w:szCs w:val="22"/>
          <w:lang w:eastAsia="en-US"/>
        </w:rPr>
      </w:pPr>
      <w:r w:rsidRPr="00202ED7">
        <w:rPr>
          <w:rFonts w:asciiTheme="minorHAnsi" w:eastAsiaTheme="minorHAnsi" w:hAnsiTheme="minorHAnsi" w:cstheme="minorHAnsi"/>
          <w:sz w:val="22"/>
          <w:szCs w:val="22"/>
          <w:lang w:eastAsia="en-US"/>
        </w:rPr>
        <w:t xml:space="preserve">Odôvodnenie: </w:t>
      </w:r>
    </w:p>
    <w:p w14:paraId="7FDF968B" w14:textId="77777777" w:rsidR="008F5517" w:rsidRPr="00202ED7" w:rsidRDefault="008F5517" w:rsidP="005E38F1">
      <w:pPr>
        <w:pStyle w:val="Normlnywebov"/>
        <w:spacing w:before="0" w:beforeAutospacing="0" w:after="0" w:afterAutospacing="0"/>
        <w:jc w:val="both"/>
        <w:rPr>
          <w:rFonts w:asciiTheme="minorHAnsi" w:hAnsiTheme="minorHAnsi" w:cstheme="minorHAnsi"/>
          <w:sz w:val="22"/>
          <w:szCs w:val="22"/>
        </w:rPr>
      </w:pPr>
      <w:r w:rsidRPr="00202ED7">
        <w:rPr>
          <w:rFonts w:asciiTheme="minorHAnsi" w:eastAsiaTheme="minorHAnsi" w:hAnsiTheme="minorHAnsi" w:cstheme="minorHAnsi"/>
          <w:sz w:val="22"/>
          <w:szCs w:val="22"/>
          <w:lang w:eastAsia="en-US"/>
        </w:rPr>
        <w:t xml:space="preserve">Slovenský potravinársky priemysel výrazne zaostáva za investíciami do obnovy, rozvoja a digitalizácie potravinárskej výroby v porovnaní s okolitými krajinami a aktuálna pandémia a obnova ekonomiky s ňou spojená, môže tieto rozdiely ešte viac prehĺbiť. Potreby potravinárskeho priemyslu v oblasti obnovy budov a digitalizácie boli zadefinované cez dotazník k príprave komplexnej informačnej databáze pre účely zefektívnenia potravinárskej výroby, ktorý si nechalo vypracovať MPRV SR. Ak však nenájdeme prostriedky na realizáciu investičnej transformácie potravinárskeho priemyslu, zastaneme na pol cesty a zásadne ohrozujeme potravinovú sebestačnosť SR.  </w:t>
      </w:r>
    </w:p>
    <w:p w14:paraId="3F9F3CF8" w14:textId="77777777" w:rsidR="008F5517" w:rsidRPr="00202ED7" w:rsidRDefault="008F5517" w:rsidP="005E38F1">
      <w:pPr>
        <w:spacing w:after="0" w:line="240" w:lineRule="auto"/>
        <w:jc w:val="both"/>
        <w:rPr>
          <w:rFonts w:cstheme="minorHAnsi"/>
        </w:rPr>
      </w:pPr>
    </w:p>
    <w:p w14:paraId="2B23C054" w14:textId="77777777" w:rsidR="00693A57" w:rsidRPr="00202ED7" w:rsidRDefault="00693A57" w:rsidP="00693A57">
      <w:pPr>
        <w:pStyle w:val="Odsekzoznamu"/>
        <w:numPr>
          <w:ilvl w:val="0"/>
          <w:numId w:val="32"/>
        </w:numPr>
        <w:spacing w:after="0" w:line="240" w:lineRule="auto"/>
        <w:jc w:val="both"/>
        <w:rPr>
          <w:rFonts w:cstheme="minorHAnsi"/>
          <w:b/>
          <w:bCs/>
          <w:shd w:val="clear" w:color="auto" w:fill="FFFFFF"/>
        </w:rPr>
      </w:pPr>
      <w:r w:rsidRPr="00202ED7">
        <w:rPr>
          <w:rFonts w:cstheme="minorHAnsi"/>
          <w:b/>
          <w:bCs/>
          <w:shd w:val="clear" w:color="auto" w:fill="FFFFFF"/>
        </w:rPr>
        <w:t>Pripomienka ku Komponentu 14. Zlepšenie podnikateľského prostredia, bod 3., písm. b), Investícia 1, časť „ciele“</w:t>
      </w:r>
      <w:r>
        <w:rPr>
          <w:rFonts w:cstheme="minorHAnsi"/>
          <w:b/>
          <w:bCs/>
          <w:shd w:val="clear" w:color="auto" w:fill="FFFFFF"/>
        </w:rPr>
        <w:t xml:space="preserve"> - obyčajná</w:t>
      </w:r>
    </w:p>
    <w:p w14:paraId="15961130" w14:textId="77777777" w:rsidR="00693A57" w:rsidRPr="00202ED7" w:rsidRDefault="00693A57" w:rsidP="00693A57">
      <w:pPr>
        <w:spacing w:after="0" w:line="240" w:lineRule="auto"/>
        <w:jc w:val="both"/>
        <w:rPr>
          <w:rFonts w:cstheme="minorHAnsi"/>
          <w:b/>
          <w:bCs/>
          <w:shd w:val="clear" w:color="auto" w:fill="FFFFFF"/>
        </w:rPr>
      </w:pPr>
    </w:p>
    <w:p w14:paraId="391E1A88" w14:textId="77777777" w:rsidR="00693A57" w:rsidRPr="00202ED7" w:rsidRDefault="00693A57" w:rsidP="00693A57">
      <w:pPr>
        <w:shd w:val="clear" w:color="auto" w:fill="FFFFFF" w:themeFill="background1"/>
        <w:spacing w:after="0" w:line="240" w:lineRule="auto"/>
        <w:jc w:val="both"/>
        <w:rPr>
          <w:rFonts w:cstheme="minorHAnsi"/>
          <w:shd w:val="clear" w:color="auto" w:fill="FFFFFF"/>
        </w:rPr>
      </w:pPr>
      <w:r w:rsidRPr="00202ED7">
        <w:rPr>
          <w:rFonts w:cstheme="minorHAnsi"/>
          <w:shd w:val="clear" w:color="auto" w:fill="FFFFFF"/>
        </w:rPr>
        <w:t xml:space="preserve">Predložený návrh predpokladá v rámci „Investície 1: Opatrenia na zníženie regulačného zaťaženia podnikania“ personálne náklady tímu expertov zložených z právnikov a analytikov vo výške </w:t>
      </w:r>
    </w:p>
    <w:p w14:paraId="52ECA0CE" w14:textId="77777777" w:rsidR="00693A57" w:rsidRPr="00202ED7" w:rsidRDefault="00693A57" w:rsidP="00693A57">
      <w:pPr>
        <w:pStyle w:val="Odsekzoznamu"/>
        <w:numPr>
          <w:ilvl w:val="0"/>
          <w:numId w:val="35"/>
        </w:numPr>
        <w:shd w:val="clear" w:color="auto" w:fill="FFFFFF" w:themeFill="background1"/>
        <w:spacing w:after="0" w:line="240" w:lineRule="auto"/>
        <w:jc w:val="both"/>
        <w:rPr>
          <w:rFonts w:cstheme="minorHAnsi"/>
          <w:shd w:val="clear" w:color="auto" w:fill="FFFFFF"/>
        </w:rPr>
      </w:pPr>
      <w:r w:rsidRPr="00202ED7">
        <w:rPr>
          <w:rFonts w:cstheme="minorHAnsi"/>
          <w:b/>
          <w:bCs/>
          <w:shd w:val="clear" w:color="auto" w:fill="FFFFFF"/>
        </w:rPr>
        <w:t>1 440 000 eur</w:t>
      </w:r>
      <w:r w:rsidRPr="00202ED7">
        <w:rPr>
          <w:rFonts w:cstheme="minorHAnsi"/>
          <w:shd w:val="clear" w:color="auto" w:fill="FFFFFF"/>
        </w:rPr>
        <w:t xml:space="preserve"> </w:t>
      </w:r>
      <w:r w:rsidRPr="00202ED7">
        <w:rPr>
          <w:rFonts w:eastAsia="Times New Roman" w:cstheme="minorHAnsi"/>
          <w:iCs/>
          <w:noProof/>
        </w:rPr>
        <w:t xml:space="preserve">v období prvého kvartálu 2021 až štvrtého kvartálu 2024 </w:t>
      </w:r>
      <w:r w:rsidRPr="00202ED7">
        <w:rPr>
          <w:rFonts w:cstheme="minorHAnsi"/>
          <w:shd w:val="clear" w:color="auto" w:fill="FFFFFF"/>
        </w:rPr>
        <w:t xml:space="preserve"> pre reformu </w:t>
      </w:r>
      <w:r w:rsidRPr="00202ED7">
        <w:rPr>
          <w:rFonts w:cstheme="minorHAnsi"/>
          <w:b/>
          <w:bCs/>
          <w:shd w:val="clear" w:color="auto" w:fill="FFFFFF"/>
        </w:rPr>
        <w:t>„1in-2out“,</w:t>
      </w:r>
    </w:p>
    <w:p w14:paraId="5AE1F106" w14:textId="77777777" w:rsidR="00693A57" w:rsidRPr="00202ED7" w:rsidRDefault="00693A57" w:rsidP="00693A57">
      <w:pPr>
        <w:pStyle w:val="Odsekzoznamu"/>
        <w:numPr>
          <w:ilvl w:val="0"/>
          <w:numId w:val="35"/>
        </w:numPr>
        <w:shd w:val="clear" w:color="auto" w:fill="FFFFFF" w:themeFill="background1"/>
        <w:spacing w:after="0" w:line="240" w:lineRule="auto"/>
        <w:jc w:val="both"/>
        <w:rPr>
          <w:rFonts w:cstheme="minorHAnsi"/>
          <w:shd w:val="clear" w:color="auto" w:fill="FFFFFF"/>
        </w:rPr>
      </w:pPr>
      <w:r w:rsidRPr="00202ED7">
        <w:rPr>
          <w:rFonts w:cstheme="minorHAnsi"/>
          <w:b/>
          <w:bCs/>
          <w:shd w:val="clear" w:color="auto" w:fill="FFFFFF"/>
        </w:rPr>
        <w:t>400 000 eur</w:t>
      </w:r>
      <w:r w:rsidRPr="00202ED7">
        <w:rPr>
          <w:rFonts w:cstheme="minorHAnsi"/>
          <w:shd w:val="clear" w:color="auto" w:fill="FFFFFF"/>
        </w:rPr>
        <w:t xml:space="preserve"> v období </w:t>
      </w:r>
      <w:r w:rsidRPr="00202ED7">
        <w:rPr>
          <w:rFonts w:eastAsia="Times New Roman" w:cstheme="minorHAnsi"/>
          <w:iCs/>
          <w:noProof/>
        </w:rPr>
        <w:t xml:space="preserve">tretieho kvartálu 2021 až štvrtého kvartálu 2024 pre reformu </w:t>
      </w:r>
      <w:r w:rsidRPr="00202ED7">
        <w:rPr>
          <w:rFonts w:eastAsia="Times New Roman" w:cstheme="minorHAnsi"/>
          <w:b/>
          <w:bCs/>
          <w:iCs/>
          <w:noProof/>
        </w:rPr>
        <w:t>„ex-post“,</w:t>
      </w:r>
      <w:r w:rsidRPr="00202ED7">
        <w:rPr>
          <w:rFonts w:eastAsia="Times New Roman" w:cstheme="minorHAnsi"/>
          <w:iCs/>
          <w:noProof/>
        </w:rPr>
        <w:t xml:space="preserve"> </w:t>
      </w:r>
    </w:p>
    <w:p w14:paraId="28E86C7E" w14:textId="77777777" w:rsidR="00693A57" w:rsidRPr="00202ED7" w:rsidRDefault="00693A57" w:rsidP="00693A57">
      <w:pPr>
        <w:pStyle w:val="Odsekzoznamu"/>
        <w:numPr>
          <w:ilvl w:val="0"/>
          <w:numId w:val="35"/>
        </w:numPr>
        <w:shd w:val="clear" w:color="auto" w:fill="FFFFFF" w:themeFill="background1"/>
        <w:spacing w:after="0" w:line="240" w:lineRule="auto"/>
        <w:jc w:val="both"/>
        <w:rPr>
          <w:rFonts w:cstheme="minorHAnsi"/>
          <w:shd w:val="clear" w:color="auto" w:fill="FFFFFF"/>
        </w:rPr>
      </w:pPr>
      <w:r w:rsidRPr="00202ED7">
        <w:rPr>
          <w:rFonts w:cstheme="minorHAnsi"/>
          <w:b/>
          <w:bCs/>
          <w:shd w:val="clear" w:color="auto" w:fill="FFFFFF"/>
        </w:rPr>
        <w:t>450 000 eur</w:t>
      </w:r>
      <w:r w:rsidRPr="00202ED7">
        <w:rPr>
          <w:rFonts w:cstheme="minorHAnsi"/>
          <w:shd w:val="clear" w:color="auto" w:fill="FFFFFF"/>
        </w:rPr>
        <w:t xml:space="preserve"> v období </w:t>
      </w:r>
      <w:r w:rsidRPr="00202ED7">
        <w:rPr>
          <w:rFonts w:eastAsia="Times New Roman" w:cstheme="minorHAnsi"/>
          <w:iCs/>
          <w:noProof/>
        </w:rPr>
        <w:t xml:space="preserve">druhého kvartálu 2021 až štvrtého kvartálu 2024 pre reformu </w:t>
      </w:r>
      <w:r w:rsidRPr="00202ED7">
        <w:rPr>
          <w:rFonts w:eastAsia="Times New Roman" w:cstheme="minorHAnsi"/>
          <w:b/>
          <w:bCs/>
          <w:iCs/>
          <w:noProof/>
        </w:rPr>
        <w:t>„Antibyrokratické balíčky“,</w:t>
      </w:r>
    </w:p>
    <w:p w14:paraId="7796D42B" w14:textId="77777777" w:rsidR="00693A57" w:rsidRPr="00202ED7" w:rsidRDefault="00693A57" w:rsidP="00693A57">
      <w:pPr>
        <w:pStyle w:val="Odsekzoznamu"/>
        <w:numPr>
          <w:ilvl w:val="0"/>
          <w:numId w:val="35"/>
        </w:numPr>
        <w:shd w:val="clear" w:color="auto" w:fill="FFFFFF" w:themeFill="background1"/>
        <w:spacing w:after="0" w:line="240" w:lineRule="auto"/>
        <w:jc w:val="both"/>
        <w:rPr>
          <w:rFonts w:cstheme="minorHAnsi"/>
          <w:b/>
          <w:bCs/>
          <w:shd w:val="clear" w:color="auto" w:fill="FFFFFF"/>
        </w:rPr>
      </w:pPr>
      <w:r w:rsidRPr="00202ED7">
        <w:rPr>
          <w:rFonts w:cstheme="minorHAnsi"/>
          <w:b/>
          <w:bCs/>
          <w:shd w:val="clear" w:color="auto" w:fill="FFFFFF"/>
        </w:rPr>
        <w:t>490 000 eur</w:t>
      </w:r>
      <w:r w:rsidRPr="00202ED7">
        <w:rPr>
          <w:rFonts w:cstheme="minorHAnsi"/>
          <w:shd w:val="clear" w:color="auto" w:fill="FFFFFF"/>
        </w:rPr>
        <w:t xml:space="preserve"> prvého kvartálu 2022 až druhého kvartálu 2025 pre reformu „</w:t>
      </w:r>
      <w:r w:rsidRPr="00202ED7">
        <w:rPr>
          <w:rFonts w:cstheme="minorHAnsi"/>
          <w:b/>
          <w:bCs/>
          <w:shd w:val="clear" w:color="auto" w:fill="FFFFFF"/>
        </w:rPr>
        <w:t xml:space="preserve">Zavedenie ochrany pred neopodstatneným </w:t>
      </w:r>
      <w:proofErr w:type="spellStart"/>
      <w:r w:rsidRPr="00202ED7">
        <w:rPr>
          <w:rFonts w:cstheme="minorHAnsi"/>
          <w:b/>
          <w:bCs/>
          <w:shd w:val="clear" w:color="auto" w:fill="FFFFFF"/>
        </w:rPr>
        <w:t>goldplatingom</w:t>
      </w:r>
      <w:proofErr w:type="spellEnd"/>
      <w:r w:rsidRPr="00202ED7">
        <w:rPr>
          <w:rFonts w:cstheme="minorHAnsi"/>
          <w:b/>
          <w:bCs/>
          <w:shd w:val="clear" w:color="auto" w:fill="FFFFFF"/>
        </w:rPr>
        <w:t xml:space="preserve">“. </w:t>
      </w:r>
    </w:p>
    <w:p w14:paraId="705670E0" w14:textId="77777777" w:rsidR="00693A57" w:rsidRPr="00202ED7" w:rsidRDefault="00693A57" w:rsidP="00693A57">
      <w:pPr>
        <w:pStyle w:val="Odsekzoznamu"/>
        <w:shd w:val="clear" w:color="auto" w:fill="FFFFFF" w:themeFill="background1"/>
        <w:spacing w:after="0" w:line="240" w:lineRule="auto"/>
        <w:jc w:val="both"/>
        <w:rPr>
          <w:rFonts w:cstheme="minorHAnsi"/>
          <w:b/>
          <w:bCs/>
          <w:shd w:val="clear" w:color="auto" w:fill="FFFFFF"/>
        </w:rPr>
      </w:pPr>
    </w:p>
    <w:p w14:paraId="3F3539EF" w14:textId="77777777" w:rsidR="00693A57" w:rsidRPr="00202ED7" w:rsidRDefault="00693A57" w:rsidP="00693A57">
      <w:pPr>
        <w:shd w:val="clear" w:color="auto" w:fill="FFFFFF" w:themeFill="background1"/>
        <w:spacing w:after="0" w:line="240" w:lineRule="auto"/>
        <w:jc w:val="both"/>
        <w:rPr>
          <w:rFonts w:cstheme="minorHAnsi"/>
          <w:i/>
          <w:iCs/>
          <w:shd w:val="clear" w:color="auto" w:fill="FFFFFF"/>
        </w:rPr>
      </w:pPr>
      <w:r w:rsidRPr="00202ED7">
        <w:rPr>
          <w:rFonts w:cstheme="minorHAnsi"/>
          <w:shd w:val="clear" w:color="auto" w:fill="FFFFFF"/>
        </w:rPr>
        <w:t xml:space="preserve">Predkladateľ v tejto súvislosti konštatuje, že: </w:t>
      </w:r>
      <w:r w:rsidRPr="00202ED7">
        <w:rPr>
          <w:rFonts w:cstheme="minorHAnsi"/>
          <w:i/>
          <w:iCs/>
          <w:shd w:val="clear" w:color="auto" w:fill="FFFFFF"/>
        </w:rPr>
        <w:t>„Ministerstvo hospodárstva ako gestor agendy lepšej regulácie na Slovensku sa dlhodobo venuje navrhovaniu opatrení na zlepšenie podnikateľského prostredia, avšak ich implementácia bez dostatočných analytických kapacít trvá dlhý čas....Na kvalitnú realizáciu reforiem sú preto potrebné dočasné tímy expertov, predovšetkým právnikov a analytikov, ktorí zabezpečia a akcelerujú zavedenie nových princípov lepšej regulácie na Slovensku.“</w:t>
      </w:r>
    </w:p>
    <w:p w14:paraId="77FC69B3" w14:textId="77777777" w:rsidR="00693A57" w:rsidRPr="00202ED7" w:rsidRDefault="00693A57" w:rsidP="00693A57">
      <w:pPr>
        <w:shd w:val="clear" w:color="auto" w:fill="FFFFFF" w:themeFill="background1"/>
        <w:spacing w:after="0" w:line="240" w:lineRule="auto"/>
        <w:jc w:val="both"/>
        <w:rPr>
          <w:rFonts w:cstheme="minorHAnsi"/>
          <w:i/>
          <w:iCs/>
          <w:shd w:val="clear" w:color="auto" w:fill="FFFFFF"/>
        </w:rPr>
      </w:pPr>
    </w:p>
    <w:p w14:paraId="484D98B3" w14:textId="5171868F" w:rsidR="00693A57" w:rsidRPr="00202ED7" w:rsidRDefault="00693A57" w:rsidP="00693A57">
      <w:pPr>
        <w:shd w:val="clear" w:color="auto" w:fill="FFFFFF" w:themeFill="background1"/>
        <w:spacing w:after="0" w:line="240" w:lineRule="auto"/>
        <w:jc w:val="both"/>
        <w:rPr>
          <w:rFonts w:cstheme="minorHAnsi"/>
          <w:b/>
          <w:bCs/>
          <w:shd w:val="clear" w:color="auto" w:fill="FFFFFF"/>
        </w:rPr>
      </w:pPr>
      <w:r w:rsidRPr="00202ED7">
        <w:rPr>
          <w:rFonts w:cstheme="minorHAnsi"/>
          <w:b/>
          <w:bCs/>
          <w:shd w:val="clear" w:color="auto" w:fill="FFFFFF"/>
        </w:rPr>
        <w:t xml:space="preserve">Máme za to, že cieľ investície je možné dosiahnuť súčasnými personálnymi kapacitami, </w:t>
      </w:r>
      <w:r w:rsidRPr="00202ED7">
        <w:rPr>
          <w:rFonts w:cstheme="minorHAnsi"/>
          <w:b/>
          <w:bCs/>
        </w:rPr>
        <w:t xml:space="preserve">úspornými opatreniami a </w:t>
      </w:r>
      <w:proofErr w:type="spellStart"/>
      <w:r w:rsidRPr="00202ED7">
        <w:rPr>
          <w:rFonts w:cstheme="minorHAnsi"/>
          <w:b/>
          <w:bCs/>
        </w:rPr>
        <w:t>realokáciou</w:t>
      </w:r>
      <w:proofErr w:type="spellEnd"/>
      <w:r w:rsidRPr="00202ED7">
        <w:rPr>
          <w:rFonts w:cstheme="minorHAnsi"/>
          <w:b/>
          <w:bCs/>
        </w:rPr>
        <w:t xml:space="preserve"> dnes neefektívne vynakladaných zdrojov v rámci verejnej správy. </w:t>
      </w:r>
      <w:r w:rsidRPr="00202ED7">
        <w:rPr>
          <w:rFonts w:cstheme="minorHAnsi"/>
          <w:b/>
          <w:bCs/>
          <w:shd w:val="clear" w:color="auto" w:fill="FFFFFF"/>
        </w:rPr>
        <w:t xml:space="preserve">Žiadame preto o prehodnotenie tejto investície a alokovanie finančných prostriedkov </w:t>
      </w:r>
      <w:r>
        <w:rPr>
          <w:rFonts w:cstheme="minorHAnsi"/>
          <w:b/>
          <w:bCs/>
          <w:shd w:val="clear" w:color="auto" w:fill="FFFFFF"/>
        </w:rPr>
        <w:t xml:space="preserve">na iné priority </w:t>
      </w:r>
      <w:r w:rsidRPr="00202ED7">
        <w:rPr>
          <w:rFonts w:cstheme="minorHAnsi"/>
          <w:b/>
          <w:bCs/>
          <w:shd w:val="clear" w:color="auto" w:fill="FFFFFF"/>
        </w:rPr>
        <w:t xml:space="preserve">v súlade s cieľmi definovanými v Čl. 4 ods. 1 Nariadenia EÚ 2021/241. </w:t>
      </w:r>
    </w:p>
    <w:p w14:paraId="63E7E517" w14:textId="77777777" w:rsidR="00693A57" w:rsidRPr="00202ED7" w:rsidRDefault="00693A57" w:rsidP="00693A57">
      <w:pPr>
        <w:shd w:val="clear" w:color="auto" w:fill="FFFFFF" w:themeFill="background1"/>
        <w:spacing w:after="0" w:line="240" w:lineRule="auto"/>
        <w:jc w:val="both"/>
        <w:rPr>
          <w:rFonts w:cstheme="minorHAnsi"/>
          <w:b/>
          <w:bCs/>
          <w:i/>
          <w:iCs/>
          <w:shd w:val="clear" w:color="auto" w:fill="FFFFFF"/>
        </w:rPr>
      </w:pPr>
      <w:r w:rsidRPr="00202ED7">
        <w:rPr>
          <w:rFonts w:cstheme="minorHAnsi"/>
          <w:shd w:val="clear" w:color="auto" w:fill="FFFFFF"/>
        </w:rPr>
        <w:lastRenderedPageBreak/>
        <w:t>Odôvodnenie:</w:t>
      </w:r>
      <w:r w:rsidRPr="00202ED7">
        <w:rPr>
          <w:rFonts w:cstheme="minorHAnsi"/>
          <w:b/>
          <w:bCs/>
          <w:shd w:val="clear" w:color="auto" w:fill="FFFFFF"/>
        </w:rPr>
        <w:t xml:space="preserve"> </w:t>
      </w:r>
      <w:r w:rsidRPr="00202ED7">
        <w:rPr>
          <w:rFonts w:cstheme="minorHAnsi"/>
          <w:shd w:val="clear" w:color="auto" w:fill="FFFFFF"/>
        </w:rPr>
        <w:t>Revízia výdavkov zamestnanosti a odmeňovania vo verejnej správe - záverečná správa z marca 2020, ktorú zverejnilo Ministerstvo financií SR a ktorá bola zameraná na zhodnotenie adekvátnosti počtu zamestnancov a výšky a štruktúry odmeňovania, citujeme:</w:t>
      </w:r>
      <w:r w:rsidRPr="00202ED7">
        <w:rPr>
          <w:rFonts w:cstheme="minorHAnsi"/>
        </w:rPr>
        <w:t xml:space="preserve"> </w:t>
      </w:r>
      <w:r w:rsidRPr="00202ED7">
        <w:rPr>
          <w:rFonts w:cstheme="minorHAnsi"/>
          <w:i/>
          <w:iCs/>
        </w:rPr>
        <w:t xml:space="preserve">„identifikovala úsporné opatrenia vo výške 765 mil. eur a ďalšie </w:t>
      </w:r>
      <w:proofErr w:type="spellStart"/>
      <w:r w:rsidRPr="00202ED7">
        <w:rPr>
          <w:rFonts w:cstheme="minorHAnsi"/>
          <w:i/>
          <w:iCs/>
        </w:rPr>
        <w:t>realokačné</w:t>
      </w:r>
      <w:proofErr w:type="spellEnd"/>
      <w:r w:rsidRPr="00202ED7">
        <w:rPr>
          <w:rFonts w:cstheme="minorHAnsi"/>
          <w:i/>
          <w:iCs/>
        </w:rPr>
        <w:t xml:space="preserve"> opatrenia, ktoré vytvoria časť potrebného finančného priestoru a prispejú k lepšiemu využitiu súčasných zdrojov.... Ako jedno z kľúčových opatrení definuje revízia 10 % zníženie počtov zamestnancov v ústrednej štátnej správe.“ </w:t>
      </w:r>
      <w:r w:rsidRPr="00202ED7">
        <w:rPr>
          <w:rFonts w:cstheme="minorHAnsi"/>
          <w:shd w:val="clear" w:color="auto" w:fill="FFFFFF"/>
        </w:rPr>
        <w:t>(</w:t>
      </w:r>
      <w:hyperlink r:id="rId12" w:history="1">
        <w:hyperlink r:id="rId13" w:history="1">
          <w:r w:rsidRPr="00202ED7">
            <w:rPr>
              <w:rStyle w:val="Hypertextovprepojenie"/>
              <w:rFonts w:cstheme="minorHAnsi"/>
            </w:rPr>
            <w:t>2020-european-semester-stability-programme-annex-3-slovakia_sk.pdf (europa.eu)</w:t>
          </w:r>
        </w:hyperlink>
      </w:hyperlink>
      <w:r w:rsidRPr="00202ED7">
        <w:rPr>
          <w:rFonts w:cstheme="minorHAnsi"/>
        </w:rPr>
        <w:t xml:space="preserve">. </w:t>
      </w:r>
      <w:r w:rsidRPr="00202ED7">
        <w:rPr>
          <w:rFonts w:cstheme="minorHAnsi"/>
          <w:shd w:val="clear" w:color="auto" w:fill="FFFFFF"/>
        </w:rPr>
        <w:t xml:space="preserve">Navyše koncom minulého roka minister hospodárstva verejne deklaroval cieľ znížiť náklady štátnej správy o 10 % - 20 %, a to nižšími výdavkami na tovary, služby a mzdy. Na tomto kroku sa mali zhodnúť koaličné strany a k zníženiu uvedených výdavkov mali pristúpiť aj ostatné rezorty. </w:t>
      </w:r>
    </w:p>
    <w:p w14:paraId="5AF2D447" w14:textId="77777777" w:rsidR="004708B0" w:rsidRPr="00202ED7" w:rsidRDefault="004708B0" w:rsidP="005E38F1">
      <w:pPr>
        <w:spacing w:after="0" w:line="240" w:lineRule="auto"/>
        <w:jc w:val="both"/>
        <w:rPr>
          <w:rFonts w:cstheme="minorHAnsi"/>
        </w:rPr>
      </w:pPr>
    </w:p>
    <w:p w14:paraId="30C68DFF" w14:textId="77777777" w:rsidR="004708B0" w:rsidRPr="00202ED7" w:rsidRDefault="004708B0" w:rsidP="005E38F1">
      <w:pPr>
        <w:spacing w:after="0" w:line="240" w:lineRule="auto"/>
        <w:jc w:val="both"/>
        <w:rPr>
          <w:rFonts w:cstheme="minorHAnsi"/>
        </w:rPr>
      </w:pPr>
    </w:p>
    <w:p w14:paraId="4C42402F" w14:textId="77777777" w:rsidR="008F5517" w:rsidRPr="00202ED7" w:rsidRDefault="008F5517" w:rsidP="005E38F1">
      <w:pPr>
        <w:shd w:val="clear" w:color="auto" w:fill="FFFFFF" w:themeFill="background1"/>
        <w:spacing w:after="0" w:line="240" w:lineRule="auto"/>
        <w:jc w:val="both"/>
        <w:rPr>
          <w:rFonts w:cstheme="minorHAnsi"/>
          <w:b/>
          <w:bCs/>
          <w:shd w:val="clear" w:color="auto" w:fill="FFFFFF"/>
        </w:rPr>
      </w:pPr>
    </w:p>
    <w:p w14:paraId="24A52F08" w14:textId="77777777" w:rsidR="00357C3D" w:rsidRPr="00202ED7" w:rsidRDefault="007E1D97" w:rsidP="005E38F1">
      <w:pPr>
        <w:shd w:val="clear" w:color="auto" w:fill="FFFFFF" w:themeFill="background1"/>
        <w:spacing w:after="0" w:line="240" w:lineRule="auto"/>
        <w:jc w:val="both"/>
        <w:rPr>
          <w:rFonts w:cstheme="minorHAnsi"/>
          <w:shd w:val="clear" w:color="auto" w:fill="FFFFFF"/>
        </w:rPr>
      </w:pPr>
      <w:r w:rsidRPr="00202ED7">
        <w:rPr>
          <w:rFonts w:cstheme="minorHAnsi"/>
          <w:shd w:val="clear" w:color="auto" w:fill="FFFFFF"/>
        </w:rPr>
        <w:t>V Bratislave 19.03.2021</w:t>
      </w:r>
    </w:p>
    <w:p w14:paraId="700A0538" w14:textId="77777777" w:rsidR="007E1D97" w:rsidRPr="00202ED7" w:rsidRDefault="007E1D97" w:rsidP="005E38F1">
      <w:pPr>
        <w:shd w:val="clear" w:color="auto" w:fill="FFFFFF" w:themeFill="background1"/>
        <w:spacing w:after="0" w:line="240" w:lineRule="auto"/>
        <w:jc w:val="both"/>
        <w:rPr>
          <w:rFonts w:cstheme="minorHAnsi"/>
          <w:b/>
          <w:bCs/>
          <w:shd w:val="clear" w:color="auto" w:fill="FFFFFF"/>
        </w:rPr>
      </w:pPr>
      <w:r w:rsidRPr="00202ED7">
        <w:rPr>
          <w:rFonts w:cstheme="minorHAnsi"/>
          <w:shd w:val="clear" w:color="auto" w:fill="FFFFFF"/>
        </w:rPr>
        <w:t>Spracoval: Úrad Slovenskej poľnohospodárskej a potravinárskej komory</w:t>
      </w:r>
    </w:p>
    <w:p w14:paraId="4B7721D7" w14:textId="77777777" w:rsidR="00571AC9" w:rsidRPr="008248CC" w:rsidRDefault="00571AC9" w:rsidP="005E38F1">
      <w:pPr>
        <w:spacing w:after="0" w:line="240" w:lineRule="auto"/>
        <w:jc w:val="both"/>
        <w:rPr>
          <w:rFonts w:cs="Arial"/>
          <w:b/>
          <w:bCs/>
          <w:shd w:val="clear" w:color="auto" w:fill="FFFFFF"/>
        </w:rPr>
      </w:pPr>
    </w:p>
    <w:p w14:paraId="345A0F8C" w14:textId="77777777" w:rsidR="000C3BFC" w:rsidRPr="008248CC" w:rsidRDefault="000C3BFC" w:rsidP="005E38F1">
      <w:pPr>
        <w:spacing w:after="0" w:line="240" w:lineRule="auto"/>
        <w:jc w:val="both"/>
        <w:rPr>
          <w:rFonts w:cs="Arial"/>
          <w:b/>
          <w:bCs/>
          <w:shd w:val="clear" w:color="auto" w:fill="FFFFFF"/>
        </w:rPr>
      </w:pPr>
    </w:p>
    <w:sectPr w:rsidR="000C3BFC" w:rsidRPr="008248CC" w:rsidSect="005D4DF9">
      <w:headerReference w:type="default" r:id="rId14"/>
      <w:footerReference w:type="default" r:id="rId15"/>
      <w:pgSz w:w="11906" w:h="16838"/>
      <w:pgMar w:top="1417" w:right="1417"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30AA0B" w14:textId="77777777" w:rsidR="00C32BD7" w:rsidRDefault="00C32BD7" w:rsidP="005D4DF9">
      <w:pPr>
        <w:spacing w:after="0" w:line="240" w:lineRule="auto"/>
      </w:pPr>
      <w:r>
        <w:separator/>
      </w:r>
    </w:p>
  </w:endnote>
  <w:endnote w:type="continuationSeparator" w:id="0">
    <w:p w14:paraId="76EF91E3" w14:textId="77777777" w:rsidR="00C32BD7" w:rsidRDefault="00C32BD7" w:rsidP="005D4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5366265"/>
      <w:docPartObj>
        <w:docPartGallery w:val="Page Numbers (Bottom of Page)"/>
        <w:docPartUnique/>
      </w:docPartObj>
    </w:sdtPr>
    <w:sdtEndPr/>
    <w:sdtContent>
      <w:p w14:paraId="2996C908" w14:textId="77777777" w:rsidR="001C72A4" w:rsidRDefault="001C72A4" w:rsidP="001C72A4">
        <w:pPr>
          <w:pStyle w:val="Pta"/>
          <w:tabs>
            <w:tab w:val="clear" w:pos="9072"/>
            <w:tab w:val="left" w:pos="2184"/>
            <w:tab w:val="left" w:pos="4080"/>
            <w:tab w:val="left" w:pos="5640"/>
            <w:tab w:val="right" w:pos="9673"/>
          </w:tabs>
          <w:rPr>
            <w:color w:val="333333"/>
            <w:sz w:val="19"/>
            <w:szCs w:val="19"/>
          </w:rPr>
        </w:pPr>
      </w:p>
      <w:p w14:paraId="18AAF6C6" w14:textId="77777777" w:rsidR="001C72A4" w:rsidRPr="00624BF2" w:rsidRDefault="001C72A4" w:rsidP="001C72A4">
        <w:pPr>
          <w:pStyle w:val="Pta"/>
          <w:tabs>
            <w:tab w:val="clear" w:pos="9072"/>
            <w:tab w:val="left" w:pos="2552"/>
            <w:tab w:val="left" w:pos="5245"/>
            <w:tab w:val="left" w:pos="5640"/>
            <w:tab w:val="right" w:pos="9673"/>
          </w:tabs>
          <w:rPr>
            <w:rFonts w:ascii="Times New Roman" w:hAnsi="Times New Roman" w:cs="Times New Roman"/>
            <w:color w:val="333333"/>
            <w:sz w:val="19"/>
            <w:szCs w:val="19"/>
          </w:rPr>
        </w:pPr>
        <w:r w:rsidRPr="00624BF2">
          <w:rPr>
            <w:rFonts w:ascii="Times New Roman" w:hAnsi="Times New Roman" w:cs="Times New Roman"/>
            <w:noProof/>
            <w:color w:val="333333"/>
            <w:sz w:val="19"/>
            <w:szCs w:val="19"/>
            <w:lang w:eastAsia="sk-SK"/>
          </w:rPr>
          <mc:AlternateContent>
            <mc:Choice Requires="wps">
              <w:drawing>
                <wp:anchor distT="0" distB="0" distL="114300" distR="114300" simplePos="0" relativeHeight="251663360" behindDoc="0" locked="1" layoutInCell="1" allowOverlap="1" wp14:anchorId="2B9E996B" wp14:editId="7E705C22">
                  <wp:simplePos x="0" y="0"/>
                  <wp:positionH relativeFrom="column">
                    <wp:posOffset>6985</wp:posOffset>
                  </wp:positionH>
                  <wp:positionV relativeFrom="page">
                    <wp:posOffset>9918700</wp:posOffset>
                  </wp:positionV>
                  <wp:extent cx="6137910" cy="0"/>
                  <wp:effectExtent l="10160" t="12700" r="5080" b="6350"/>
                  <wp:wrapTight wrapText="bothSides">
                    <wp:wrapPolygon edited="0">
                      <wp:start x="0" y="-2147483648"/>
                      <wp:lineTo x="646" y="-2147483648"/>
                      <wp:lineTo x="646" y="-2147483648"/>
                      <wp:lineTo x="0" y="-2147483648"/>
                      <wp:lineTo x="0" y="-2147483648"/>
                    </wp:wrapPolygon>
                  </wp:wrapTight>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7910" cy="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322C4" id="Rovná spojnica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pt,781pt" to="483.85pt,7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" strokecolor="#333">
                  <w10:wrap type="tight" anchory="page"/>
                  <w10:anchorlock/>
                </v:line>
              </w:pict>
            </mc:Fallback>
          </mc:AlternateContent>
        </w:r>
        <w:r w:rsidRPr="00624BF2">
          <w:rPr>
            <w:rFonts w:ascii="Times New Roman" w:hAnsi="Times New Roman" w:cs="Times New Roman"/>
            <w:color w:val="333333"/>
            <w:sz w:val="19"/>
            <w:szCs w:val="19"/>
          </w:rPr>
          <w:t xml:space="preserve">Telefón: 02/50217111 </w:t>
        </w:r>
        <w:r w:rsidRPr="00624BF2">
          <w:rPr>
            <w:rFonts w:ascii="Times New Roman" w:hAnsi="Times New Roman" w:cs="Times New Roman"/>
            <w:color w:val="333333"/>
            <w:sz w:val="19"/>
            <w:szCs w:val="19"/>
          </w:rPr>
          <w:tab/>
          <w:t xml:space="preserve">  IČO: 31826253 </w:t>
        </w:r>
        <w:r w:rsidRPr="00624BF2">
          <w:rPr>
            <w:rFonts w:ascii="Times New Roman" w:hAnsi="Times New Roman" w:cs="Times New Roman"/>
            <w:color w:val="333333"/>
            <w:sz w:val="19"/>
            <w:szCs w:val="19"/>
          </w:rPr>
          <w:tab/>
          <w:t xml:space="preserve"> </w:t>
        </w:r>
        <w:r w:rsidRPr="00624BF2">
          <w:rPr>
            <w:rFonts w:ascii="Times New Roman" w:hAnsi="Times New Roman" w:cs="Times New Roman"/>
            <w:color w:val="333333"/>
            <w:sz w:val="19"/>
            <w:szCs w:val="19"/>
          </w:rPr>
          <w:tab/>
          <w:t xml:space="preserve">e-mail: </w:t>
        </w:r>
        <w:hyperlink r:id="rId1" w:history="1">
          <w:r w:rsidRPr="00624BF2">
            <w:rPr>
              <w:rStyle w:val="Hypertextovprepojenie"/>
              <w:rFonts w:ascii="Times New Roman" w:hAnsi="Times New Roman" w:cs="Times New Roman"/>
              <w:sz w:val="19"/>
              <w:szCs w:val="19"/>
            </w:rPr>
            <w:t>sppk@sppk.sk</w:t>
          </w:r>
        </w:hyperlink>
        <w:r w:rsidRPr="00624BF2">
          <w:rPr>
            <w:rFonts w:ascii="Times New Roman" w:hAnsi="Times New Roman" w:cs="Times New Roman"/>
            <w:color w:val="333333"/>
            <w:sz w:val="19"/>
            <w:szCs w:val="19"/>
          </w:rPr>
          <w:t xml:space="preserve">         </w:t>
        </w:r>
        <w:r w:rsidRPr="00624BF2">
          <w:rPr>
            <w:rFonts w:ascii="Times New Roman" w:hAnsi="Times New Roman" w:cs="Times New Roman"/>
            <w:color w:val="333333"/>
            <w:sz w:val="19"/>
            <w:szCs w:val="19"/>
          </w:rPr>
          <w:tab/>
          <w:t xml:space="preserve"> http://www.sppk.sk</w:t>
        </w:r>
      </w:p>
      <w:p w14:paraId="71C9CC9D" w14:textId="77777777" w:rsidR="001C72A4" w:rsidRPr="00624BF2" w:rsidRDefault="001C72A4" w:rsidP="001C72A4">
        <w:pPr>
          <w:pStyle w:val="Pta"/>
          <w:rPr>
            <w:rFonts w:ascii="Times New Roman" w:hAnsi="Times New Roman" w:cs="Times New Roman"/>
          </w:rPr>
        </w:pPr>
      </w:p>
      <w:p w14:paraId="65BB9633" w14:textId="77777777" w:rsidR="005D4DF9" w:rsidRDefault="005D4DF9">
        <w:pPr>
          <w:pStyle w:val="Pta"/>
          <w:jc w:val="right"/>
        </w:pPr>
        <w:r>
          <w:fldChar w:fldCharType="begin"/>
        </w:r>
        <w:r>
          <w:instrText>PAGE   \* MERGEFORMAT</w:instrText>
        </w:r>
        <w:r>
          <w:fldChar w:fldCharType="separate"/>
        </w:r>
        <w:r w:rsidR="00202ED7">
          <w:rPr>
            <w:noProof/>
          </w:rPr>
          <w:t>1</w:t>
        </w:r>
        <w:r>
          <w:fldChar w:fldCharType="end"/>
        </w:r>
      </w:p>
    </w:sdtContent>
  </w:sdt>
  <w:p w14:paraId="687E0368" w14:textId="77777777" w:rsidR="005D4DF9" w:rsidRDefault="005D4DF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BAF1C8" w14:textId="77777777" w:rsidR="00C32BD7" w:rsidRDefault="00C32BD7" w:rsidP="005D4DF9">
      <w:pPr>
        <w:spacing w:after="0" w:line="240" w:lineRule="auto"/>
      </w:pPr>
      <w:r>
        <w:separator/>
      </w:r>
    </w:p>
  </w:footnote>
  <w:footnote w:type="continuationSeparator" w:id="0">
    <w:p w14:paraId="3113F2F1" w14:textId="77777777" w:rsidR="00C32BD7" w:rsidRDefault="00C32BD7" w:rsidP="005D4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601CA6" w14:textId="77777777" w:rsidR="001C72A4" w:rsidRPr="00624BF2" w:rsidRDefault="001C72A4" w:rsidP="001C72A4">
    <w:pPr>
      <w:pStyle w:val="Hlavika"/>
      <w:jc w:val="right"/>
      <w:rPr>
        <w:rFonts w:ascii="Times New Roman" w:hAnsi="Times New Roman" w:cs="Times New Roman"/>
        <w:sz w:val="24"/>
        <w:szCs w:val="24"/>
      </w:rPr>
    </w:pPr>
    <w:r w:rsidRPr="00624BF2">
      <w:rPr>
        <w:rFonts w:ascii="Times New Roman" w:hAnsi="Times New Roman" w:cs="Times New Roman"/>
        <w:noProof/>
        <w:sz w:val="24"/>
        <w:szCs w:val="24"/>
        <w:lang w:eastAsia="sk-SK"/>
      </w:rPr>
      <mc:AlternateContent>
        <mc:Choice Requires="wps">
          <w:drawing>
            <wp:anchor distT="0" distB="0" distL="114300" distR="114300" simplePos="0" relativeHeight="251661312" behindDoc="0" locked="1" layoutInCell="1" allowOverlap="1" wp14:anchorId="6D4C0C7E" wp14:editId="19883E21">
              <wp:simplePos x="0" y="0"/>
              <wp:positionH relativeFrom="page">
                <wp:posOffset>900430</wp:posOffset>
              </wp:positionH>
              <wp:positionV relativeFrom="page">
                <wp:posOffset>935990</wp:posOffset>
              </wp:positionV>
              <wp:extent cx="6137910" cy="0"/>
              <wp:effectExtent l="5080" t="12065" r="10160" b="6985"/>
              <wp:wrapTight wrapText="bothSides">
                <wp:wrapPolygon edited="0">
                  <wp:start x="0" y="-2147483648"/>
                  <wp:lineTo x="646" y="-2147483648"/>
                  <wp:lineTo x="646" y="-2147483648"/>
                  <wp:lineTo x="0" y="-2147483648"/>
                  <wp:lineTo x="0" y="-2147483648"/>
                </wp:wrapPolygon>
              </wp:wrapTight>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7910" cy="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E01092" id="Rovná spojnica 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73.7pt" to="554.2pt,7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" strokecolor="#333">
              <w10:wrap type="tight" anchorx="page" anchory="page"/>
              <w10:anchorlock/>
            </v:line>
          </w:pict>
        </mc:Fallback>
      </mc:AlternateContent>
    </w:r>
    <w:r w:rsidRPr="00624BF2">
      <w:rPr>
        <w:rFonts w:ascii="Times New Roman" w:hAnsi="Times New Roman" w:cs="Times New Roman"/>
        <w:noProof/>
        <w:sz w:val="24"/>
        <w:szCs w:val="24"/>
        <w:lang w:eastAsia="sk-SK"/>
      </w:rPr>
      <mc:AlternateContent>
        <mc:Choice Requires="wps">
          <w:drawing>
            <wp:anchor distT="0" distB="0" distL="114300" distR="114300" simplePos="0" relativeHeight="251660288" behindDoc="1" locked="1" layoutInCell="1" allowOverlap="1" wp14:anchorId="1AC4483D" wp14:editId="7714143D">
              <wp:simplePos x="0" y="0"/>
              <wp:positionH relativeFrom="page">
                <wp:posOffset>2800350</wp:posOffset>
              </wp:positionH>
              <wp:positionV relativeFrom="page">
                <wp:posOffset>533400</wp:posOffset>
              </wp:positionV>
              <wp:extent cx="4239895" cy="402590"/>
              <wp:effectExtent l="0" t="0" r="8255" b="1651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9895" cy="402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B8262" w14:textId="77777777" w:rsidR="001C72A4" w:rsidRPr="00624BF2" w:rsidRDefault="001C72A4" w:rsidP="001C72A4">
                          <w:pPr>
                            <w:spacing w:after="0" w:line="240" w:lineRule="auto"/>
                            <w:jc w:val="center"/>
                            <w:rPr>
                              <w:rFonts w:ascii="Times New Roman" w:hAnsi="Times New Roman" w:cs="Times New Roman"/>
                              <w:b/>
                              <w:w w:val="97"/>
                              <w:sz w:val="24"/>
                              <w:szCs w:val="24"/>
                            </w:rPr>
                          </w:pPr>
                          <w:r w:rsidRPr="00624BF2">
                            <w:rPr>
                              <w:rFonts w:ascii="Times New Roman" w:hAnsi="Times New Roman" w:cs="Times New Roman"/>
                              <w:b/>
                              <w:w w:val="97"/>
                              <w:sz w:val="24"/>
                              <w:szCs w:val="24"/>
                            </w:rPr>
                            <w:t>Slovenská poľnohospodárska a potravinárska komora</w:t>
                          </w:r>
                        </w:p>
                        <w:p w14:paraId="7E15B128" w14:textId="77777777" w:rsidR="001C72A4" w:rsidRPr="00624BF2" w:rsidRDefault="001C72A4" w:rsidP="001C72A4">
                          <w:pPr>
                            <w:spacing w:after="0" w:line="240" w:lineRule="auto"/>
                            <w:jc w:val="center"/>
                            <w:rPr>
                              <w:rFonts w:ascii="Times New Roman" w:hAnsi="Times New Roman" w:cs="Times New Roman"/>
                              <w:b/>
                              <w:w w:val="97"/>
                              <w:sz w:val="24"/>
                              <w:szCs w:val="24"/>
                            </w:rPr>
                          </w:pPr>
                          <w:r w:rsidRPr="00624BF2">
                            <w:rPr>
                              <w:rFonts w:ascii="Times New Roman" w:hAnsi="Times New Roman" w:cs="Times New Roman"/>
                              <w:b/>
                              <w:w w:val="97"/>
                              <w:sz w:val="24"/>
                              <w:szCs w:val="24"/>
                            </w:rPr>
                            <w:t>Záhradnícka 21, 811 07 Bratislava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C4483D" id="_x0000_t202" coordsize="21600,21600" o:spt="202" path="m,l,21600r21600,l21600,xe">
              <v:stroke joinstyle="miter"/>
              <v:path gradientshapeok="t" o:connecttype="rect"/>
            </v:shapetype>
            <v:shape id="Textové pole 2" o:spid="_x0000_s1026" type="#_x0000_t202" style="position:absolute;left:0;text-align:left;margin-left:220.5pt;margin-top:42pt;width:333.85pt;height:31.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" filled="f" stroked="f">
              <v:textbox inset="0,0,0,0">
                <w:txbxContent>
                  <w:p w14:paraId="378B8262" w14:textId="77777777" w:rsidR="001C72A4" w:rsidRPr="00624BF2" w:rsidRDefault="001C72A4" w:rsidP="001C72A4">
                    <w:pPr>
                      <w:spacing w:after="0" w:line="240" w:lineRule="auto"/>
                      <w:jc w:val="center"/>
                      <w:rPr>
                        <w:rFonts w:ascii="Times New Roman" w:hAnsi="Times New Roman" w:cs="Times New Roman"/>
                        <w:b/>
                        <w:w w:val="97"/>
                        <w:sz w:val="24"/>
                        <w:szCs w:val="24"/>
                      </w:rPr>
                    </w:pPr>
                    <w:r w:rsidRPr="00624BF2">
                      <w:rPr>
                        <w:rFonts w:ascii="Times New Roman" w:hAnsi="Times New Roman" w:cs="Times New Roman"/>
                        <w:b/>
                        <w:w w:val="97"/>
                        <w:sz w:val="24"/>
                        <w:szCs w:val="24"/>
                      </w:rPr>
                      <w:t>Slovenská poľnohospodárska a potravinárska komora</w:t>
                    </w:r>
                  </w:p>
                  <w:p w14:paraId="7E15B128" w14:textId="77777777" w:rsidR="001C72A4" w:rsidRPr="00624BF2" w:rsidRDefault="001C72A4" w:rsidP="001C72A4">
                    <w:pPr>
                      <w:spacing w:after="0" w:line="240" w:lineRule="auto"/>
                      <w:jc w:val="center"/>
                      <w:rPr>
                        <w:rFonts w:ascii="Times New Roman" w:hAnsi="Times New Roman" w:cs="Times New Roman"/>
                        <w:b/>
                        <w:w w:val="97"/>
                        <w:sz w:val="24"/>
                        <w:szCs w:val="24"/>
                      </w:rPr>
                    </w:pPr>
                    <w:r w:rsidRPr="00624BF2">
                      <w:rPr>
                        <w:rFonts w:ascii="Times New Roman" w:hAnsi="Times New Roman" w:cs="Times New Roman"/>
                        <w:b/>
                        <w:w w:val="97"/>
                        <w:sz w:val="24"/>
                        <w:szCs w:val="24"/>
                      </w:rPr>
                      <w:t>Záhradnícka 21, 811 07 Bratislava</w:t>
                    </w:r>
                  </w:p>
                </w:txbxContent>
              </v:textbox>
              <w10:wrap anchorx="page" anchory="page"/>
              <w10:anchorlock/>
            </v:shape>
          </w:pict>
        </mc:Fallback>
      </mc:AlternateContent>
    </w:r>
    <w:r w:rsidRPr="00624BF2">
      <w:rPr>
        <w:rFonts w:ascii="Times New Roman" w:hAnsi="Times New Roman" w:cs="Times New Roman"/>
        <w:noProof/>
        <w:sz w:val="24"/>
        <w:szCs w:val="24"/>
        <w:lang w:eastAsia="sk-SK"/>
      </w:rPr>
      <w:drawing>
        <wp:anchor distT="0" distB="0" distL="114300" distR="114300" simplePos="0" relativeHeight="251659264" behindDoc="1" locked="1" layoutInCell="1" allowOverlap="1" wp14:anchorId="58595E52" wp14:editId="77845ADC">
          <wp:simplePos x="0" y="0"/>
          <wp:positionH relativeFrom="page">
            <wp:posOffset>895985</wp:posOffset>
          </wp:positionH>
          <wp:positionV relativeFrom="page">
            <wp:posOffset>474345</wp:posOffset>
          </wp:positionV>
          <wp:extent cx="666115" cy="460375"/>
          <wp:effectExtent l="0" t="0" r="635" b="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43060" r="3076"/>
                  <a:stretch>
                    <a:fillRect/>
                  </a:stretch>
                </pic:blipFill>
                <pic:spPr bwMode="auto">
                  <a:xfrm>
                    <a:off x="0" y="0"/>
                    <a:ext cx="666115" cy="460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37E996" w14:textId="77777777" w:rsidR="001C72A4" w:rsidRDefault="001C72A4" w:rsidP="001C72A4">
    <w:pPr>
      <w:pStyle w:val="Hlavika"/>
      <w:rPr>
        <w:rFonts w:ascii="Times New Roman" w:hAnsi="Times New Roman" w:cs="Times New Roman"/>
        <w:sz w:val="24"/>
        <w:szCs w:val="24"/>
      </w:rPr>
    </w:pPr>
  </w:p>
  <w:p w14:paraId="4209252A" w14:textId="77777777" w:rsidR="001C72A4" w:rsidRDefault="001C72A4" w:rsidP="001C72A4">
    <w:pPr>
      <w:pStyle w:val="Hlavika"/>
      <w:rPr>
        <w:rFonts w:ascii="Times New Roman" w:hAnsi="Times New Roman" w:cs="Times New Roman"/>
        <w:sz w:val="24"/>
        <w:szCs w:val="24"/>
      </w:rPr>
    </w:pPr>
  </w:p>
  <w:p w14:paraId="73E397E4" w14:textId="77777777" w:rsidR="001C72A4" w:rsidRDefault="001C72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94D8B"/>
    <w:multiLevelType w:val="hybridMultilevel"/>
    <w:tmpl w:val="A656B164"/>
    <w:lvl w:ilvl="0" w:tplc="E1D6880C">
      <w:start w:val="1"/>
      <w:numFmt w:val="decimal"/>
      <w:lvlText w:val="%1."/>
      <w:lvlJc w:val="left"/>
      <w:pPr>
        <w:ind w:left="720" w:hanging="360"/>
      </w:pPr>
      <w:rPr>
        <w:rFonts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8D6A00"/>
    <w:multiLevelType w:val="multilevel"/>
    <w:tmpl w:val="BFB03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15DF6"/>
    <w:multiLevelType w:val="hybridMultilevel"/>
    <w:tmpl w:val="8D2E87DE"/>
    <w:lvl w:ilvl="0" w:tplc="121C2EFA">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 w15:restartNumberingAfterBreak="0">
    <w:nsid w:val="0FA26EE2"/>
    <w:multiLevelType w:val="multilevel"/>
    <w:tmpl w:val="4000D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C06409"/>
    <w:multiLevelType w:val="multilevel"/>
    <w:tmpl w:val="00D2B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621F27"/>
    <w:multiLevelType w:val="hybridMultilevel"/>
    <w:tmpl w:val="81726E66"/>
    <w:lvl w:ilvl="0" w:tplc="7D1C08A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476238C"/>
    <w:multiLevelType w:val="hybridMultilevel"/>
    <w:tmpl w:val="DA743C74"/>
    <w:lvl w:ilvl="0" w:tplc="906624F2">
      <w:start w:val="1"/>
      <w:numFmt w:val="decimal"/>
      <w:lvlText w:val="%1."/>
      <w:lvlJc w:val="left"/>
      <w:pPr>
        <w:ind w:left="720" w:hanging="360"/>
      </w:pPr>
      <w:rPr>
        <w:rFonts w:cstheme="minorBid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9F2B0E"/>
    <w:multiLevelType w:val="hybridMultilevel"/>
    <w:tmpl w:val="48B242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BB63A7E"/>
    <w:multiLevelType w:val="hybridMultilevel"/>
    <w:tmpl w:val="1790622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274666A"/>
    <w:multiLevelType w:val="multilevel"/>
    <w:tmpl w:val="8C228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D04C4F"/>
    <w:multiLevelType w:val="hybridMultilevel"/>
    <w:tmpl w:val="0C1A953E"/>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EA07CAE"/>
    <w:multiLevelType w:val="multilevel"/>
    <w:tmpl w:val="06183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A771FA"/>
    <w:multiLevelType w:val="multilevel"/>
    <w:tmpl w:val="A606DD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392827"/>
    <w:multiLevelType w:val="hybridMultilevel"/>
    <w:tmpl w:val="2FB81E0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6E24D95"/>
    <w:multiLevelType w:val="hybridMultilevel"/>
    <w:tmpl w:val="766805A6"/>
    <w:lvl w:ilvl="0" w:tplc="1D968E36">
      <w:start w:val="1"/>
      <w:numFmt w:val="decimal"/>
      <w:lvlText w:val="%1."/>
      <w:lvlJc w:val="left"/>
      <w:pPr>
        <w:ind w:left="720" w:hanging="360"/>
      </w:pPr>
      <w:rPr>
        <w:rFonts w:ascii="Calibri" w:hAnsi="Calibri" w:cs="Calibri"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8E9117C"/>
    <w:multiLevelType w:val="hybridMultilevel"/>
    <w:tmpl w:val="766805A6"/>
    <w:lvl w:ilvl="0" w:tplc="1D968E36">
      <w:start w:val="1"/>
      <w:numFmt w:val="decimal"/>
      <w:lvlText w:val="%1."/>
      <w:lvlJc w:val="left"/>
      <w:pPr>
        <w:ind w:left="720" w:hanging="360"/>
      </w:pPr>
      <w:rPr>
        <w:rFonts w:ascii="Calibri" w:hAnsi="Calibri" w:cs="Calibri"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B230029"/>
    <w:multiLevelType w:val="hybridMultilevel"/>
    <w:tmpl w:val="F2509C1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EAC0A8B"/>
    <w:multiLevelType w:val="hybridMultilevel"/>
    <w:tmpl w:val="9948F2A4"/>
    <w:lvl w:ilvl="0" w:tplc="5C886094">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21F582B"/>
    <w:multiLevelType w:val="hybridMultilevel"/>
    <w:tmpl w:val="F2509C1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9520BE3"/>
    <w:multiLevelType w:val="hybridMultilevel"/>
    <w:tmpl w:val="67942F2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6DB619D"/>
    <w:multiLevelType w:val="hybridMultilevel"/>
    <w:tmpl w:val="02C2124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8003BB5"/>
    <w:multiLevelType w:val="hybridMultilevel"/>
    <w:tmpl w:val="36E6902A"/>
    <w:lvl w:ilvl="0" w:tplc="041B000F">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8D2367D"/>
    <w:multiLevelType w:val="hybridMultilevel"/>
    <w:tmpl w:val="45B001B2"/>
    <w:lvl w:ilvl="0" w:tplc="03BA4DD0">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19">
      <w:start w:val="1"/>
      <w:numFmt w:val="lowerLetter"/>
      <w:lvlText w:val="%3."/>
      <w:lvlJc w:val="left"/>
      <w:pPr>
        <w:ind w:left="2160" w:hanging="360"/>
      </w:pPr>
      <w:rPr>
        <w:rFont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FB977B3"/>
    <w:multiLevelType w:val="hybridMultilevel"/>
    <w:tmpl w:val="94248E96"/>
    <w:lvl w:ilvl="0" w:tplc="03BA4DD0">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2D72DE2"/>
    <w:multiLevelType w:val="hybridMultilevel"/>
    <w:tmpl w:val="766805A6"/>
    <w:lvl w:ilvl="0" w:tplc="1D968E36">
      <w:start w:val="1"/>
      <w:numFmt w:val="decimal"/>
      <w:lvlText w:val="%1."/>
      <w:lvlJc w:val="left"/>
      <w:pPr>
        <w:ind w:left="720" w:hanging="360"/>
      </w:pPr>
      <w:rPr>
        <w:rFonts w:ascii="Calibri" w:hAnsi="Calibri" w:cs="Calibri"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3690E4D"/>
    <w:multiLevelType w:val="multilevel"/>
    <w:tmpl w:val="AD063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445495"/>
    <w:multiLevelType w:val="hybridMultilevel"/>
    <w:tmpl w:val="28CC5F24"/>
    <w:lvl w:ilvl="0" w:tplc="03BA4DD0">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CE0679CE">
      <w:start w:val="1"/>
      <w:numFmt w:val="lowerLetter"/>
      <w:lvlText w:val="%3."/>
      <w:lvlJc w:val="left"/>
      <w:pPr>
        <w:ind w:left="2160" w:hanging="360"/>
      </w:pPr>
      <w:rPr>
        <w:rFonts w:hint="default"/>
        <w:b w:val="0"/>
        <w:bCs w:val="0"/>
      </w:rPr>
    </w:lvl>
    <w:lvl w:ilvl="3" w:tplc="041B0001">
      <w:start w:val="1"/>
      <w:numFmt w:val="bullet"/>
      <w:lvlText w:val=""/>
      <w:lvlJc w:val="left"/>
      <w:pPr>
        <w:ind w:left="2880" w:hanging="360"/>
      </w:pPr>
      <w:rPr>
        <w:rFonts w:ascii="Symbol" w:hAnsi="Symbol" w:hint="default"/>
      </w:rPr>
    </w:lvl>
    <w:lvl w:ilvl="4" w:tplc="7D9AF36C">
      <w:start w:val="1"/>
      <w:numFmt w:val="decimal"/>
      <w:lvlText w:val="%5."/>
      <w:lvlJc w:val="left"/>
      <w:pPr>
        <w:ind w:left="3600" w:hanging="360"/>
      </w:pPr>
      <w:rPr>
        <w:rFonts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A992F1B"/>
    <w:multiLevelType w:val="multilevel"/>
    <w:tmpl w:val="B6985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6429A3"/>
    <w:multiLevelType w:val="hybridMultilevel"/>
    <w:tmpl w:val="2FF4F13C"/>
    <w:lvl w:ilvl="0" w:tplc="CE0679CE">
      <w:start w:val="1"/>
      <w:numFmt w:val="lowerLetter"/>
      <w:lvlText w:val="%1."/>
      <w:lvlJc w:val="left"/>
      <w:pPr>
        <w:ind w:left="216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1103BB3"/>
    <w:multiLevelType w:val="hybridMultilevel"/>
    <w:tmpl w:val="9948F2A4"/>
    <w:lvl w:ilvl="0" w:tplc="5C886094">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3B118FD"/>
    <w:multiLevelType w:val="multilevel"/>
    <w:tmpl w:val="AD66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F81975"/>
    <w:multiLevelType w:val="hybridMultilevel"/>
    <w:tmpl w:val="168E9CD8"/>
    <w:lvl w:ilvl="0" w:tplc="8BB65DA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745619C"/>
    <w:multiLevelType w:val="hybridMultilevel"/>
    <w:tmpl w:val="F2509C1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8291340"/>
    <w:multiLevelType w:val="hybridMultilevel"/>
    <w:tmpl w:val="5D38CA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D591FF2"/>
    <w:multiLevelType w:val="hybridMultilevel"/>
    <w:tmpl w:val="DA743C74"/>
    <w:lvl w:ilvl="0" w:tplc="906624F2">
      <w:start w:val="1"/>
      <w:numFmt w:val="decimal"/>
      <w:lvlText w:val="%1."/>
      <w:lvlJc w:val="left"/>
      <w:pPr>
        <w:ind w:left="720" w:hanging="360"/>
      </w:pPr>
      <w:rPr>
        <w:rFonts w:cstheme="minorBid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F65236A"/>
    <w:multiLevelType w:val="hybridMultilevel"/>
    <w:tmpl w:val="41083B46"/>
    <w:lvl w:ilvl="0" w:tplc="5C886094">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25"/>
  </w:num>
  <w:num w:numId="5">
    <w:abstractNumId w:val="11"/>
  </w:num>
  <w:num w:numId="6">
    <w:abstractNumId w:val="1"/>
  </w:num>
  <w:num w:numId="7">
    <w:abstractNumId w:val="12"/>
  </w:num>
  <w:num w:numId="8">
    <w:abstractNumId w:val="23"/>
  </w:num>
  <w:num w:numId="9">
    <w:abstractNumId w:val="10"/>
  </w:num>
  <w:num w:numId="10">
    <w:abstractNumId w:val="18"/>
  </w:num>
  <w:num w:numId="11">
    <w:abstractNumId w:val="7"/>
  </w:num>
  <w:num w:numId="12">
    <w:abstractNumId w:val="16"/>
  </w:num>
  <w:num w:numId="13">
    <w:abstractNumId w:val="32"/>
  </w:num>
  <w:num w:numId="14">
    <w:abstractNumId w:val="0"/>
  </w:num>
  <w:num w:numId="15">
    <w:abstractNumId w:val="8"/>
  </w:num>
  <w:num w:numId="16">
    <w:abstractNumId w:val="30"/>
  </w:num>
  <w:num w:numId="17">
    <w:abstractNumId w:val="22"/>
  </w:num>
  <w:num w:numId="18">
    <w:abstractNumId w:val="6"/>
  </w:num>
  <w:num w:numId="19">
    <w:abstractNumId w:val="26"/>
  </w:num>
  <w:num w:numId="20">
    <w:abstractNumId w:val="28"/>
  </w:num>
  <w:num w:numId="21">
    <w:abstractNumId w:val="2"/>
  </w:num>
  <w:num w:numId="22">
    <w:abstractNumId w:val="34"/>
  </w:num>
  <w:num w:numId="23">
    <w:abstractNumId w:val="15"/>
  </w:num>
  <w:num w:numId="24">
    <w:abstractNumId w:val="27"/>
  </w:num>
  <w:num w:numId="25">
    <w:abstractNumId w:val="24"/>
  </w:num>
  <w:num w:numId="26">
    <w:abstractNumId w:val="14"/>
  </w:num>
  <w:num w:numId="27">
    <w:abstractNumId w:val="21"/>
  </w:num>
  <w:num w:numId="28">
    <w:abstractNumId w:val="33"/>
  </w:num>
  <w:num w:numId="29">
    <w:abstractNumId w:val="19"/>
  </w:num>
  <w:num w:numId="30">
    <w:abstractNumId w:val="20"/>
  </w:num>
  <w:num w:numId="31">
    <w:abstractNumId w:val="5"/>
  </w:num>
  <w:num w:numId="32">
    <w:abstractNumId w:val="17"/>
  </w:num>
  <w:num w:numId="33">
    <w:abstractNumId w:val="35"/>
  </w:num>
  <w:num w:numId="34">
    <w:abstractNumId w:val="13"/>
  </w:num>
  <w:num w:numId="35">
    <w:abstractNumId w:val="31"/>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7DC"/>
    <w:rsid w:val="000749E2"/>
    <w:rsid w:val="000B44E2"/>
    <w:rsid w:val="000C3BFC"/>
    <w:rsid w:val="000E7AD6"/>
    <w:rsid w:val="0012449D"/>
    <w:rsid w:val="001724A3"/>
    <w:rsid w:val="00186FCA"/>
    <w:rsid w:val="001C70FF"/>
    <w:rsid w:val="001C72A4"/>
    <w:rsid w:val="00202ED7"/>
    <w:rsid w:val="002277CD"/>
    <w:rsid w:val="0024128C"/>
    <w:rsid w:val="002849F9"/>
    <w:rsid w:val="00286587"/>
    <w:rsid w:val="00291249"/>
    <w:rsid w:val="002B67B4"/>
    <w:rsid w:val="002E09DF"/>
    <w:rsid w:val="002F1D26"/>
    <w:rsid w:val="00310F7A"/>
    <w:rsid w:val="00315A4D"/>
    <w:rsid w:val="00327336"/>
    <w:rsid w:val="00343F07"/>
    <w:rsid w:val="00357C3D"/>
    <w:rsid w:val="00363C0C"/>
    <w:rsid w:val="003747FC"/>
    <w:rsid w:val="00376638"/>
    <w:rsid w:val="00384A7D"/>
    <w:rsid w:val="00385A78"/>
    <w:rsid w:val="003B6000"/>
    <w:rsid w:val="003F1597"/>
    <w:rsid w:val="003F5799"/>
    <w:rsid w:val="00451AEF"/>
    <w:rsid w:val="0045776A"/>
    <w:rsid w:val="0046480D"/>
    <w:rsid w:val="004708B0"/>
    <w:rsid w:val="004C3D27"/>
    <w:rsid w:val="00507B05"/>
    <w:rsid w:val="00533210"/>
    <w:rsid w:val="00562C8F"/>
    <w:rsid w:val="00571AC9"/>
    <w:rsid w:val="005747DC"/>
    <w:rsid w:val="005B2551"/>
    <w:rsid w:val="005C4CE0"/>
    <w:rsid w:val="005D4DF9"/>
    <w:rsid w:val="005E38F1"/>
    <w:rsid w:val="005F771A"/>
    <w:rsid w:val="00615F18"/>
    <w:rsid w:val="00623D34"/>
    <w:rsid w:val="006312DE"/>
    <w:rsid w:val="00646736"/>
    <w:rsid w:val="006739F0"/>
    <w:rsid w:val="00691895"/>
    <w:rsid w:val="00693A57"/>
    <w:rsid w:val="006B0B85"/>
    <w:rsid w:val="006B446E"/>
    <w:rsid w:val="006F25AB"/>
    <w:rsid w:val="00700A48"/>
    <w:rsid w:val="00741C8A"/>
    <w:rsid w:val="00750989"/>
    <w:rsid w:val="0076360B"/>
    <w:rsid w:val="00777FFB"/>
    <w:rsid w:val="007C0F27"/>
    <w:rsid w:val="007C3494"/>
    <w:rsid w:val="007C5B68"/>
    <w:rsid w:val="007E1D97"/>
    <w:rsid w:val="008248CC"/>
    <w:rsid w:val="00835399"/>
    <w:rsid w:val="008644E7"/>
    <w:rsid w:val="008F5517"/>
    <w:rsid w:val="008F571B"/>
    <w:rsid w:val="008F60A9"/>
    <w:rsid w:val="00941B4B"/>
    <w:rsid w:val="00942627"/>
    <w:rsid w:val="009651D6"/>
    <w:rsid w:val="00967F34"/>
    <w:rsid w:val="009D38E7"/>
    <w:rsid w:val="00A2095A"/>
    <w:rsid w:val="00A42334"/>
    <w:rsid w:val="00A66CB0"/>
    <w:rsid w:val="00A8577C"/>
    <w:rsid w:val="00AE0405"/>
    <w:rsid w:val="00AE1972"/>
    <w:rsid w:val="00AE700F"/>
    <w:rsid w:val="00AF14F3"/>
    <w:rsid w:val="00AF7E4C"/>
    <w:rsid w:val="00B06CC7"/>
    <w:rsid w:val="00B26BF7"/>
    <w:rsid w:val="00B43A76"/>
    <w:rsid w:val="00B62F99"/>
    <w:rsid w:val="00B942AB"/>
    <w:rsid w:val="00BA0F04"/>
    <w:rsid w:val="00BD1768"/>
    <w:rsid w:val="00BE3064"/>
    <w:rsid w:val="00C2424D"/>
    <w:rsid w:val="00C26D64"/>
    <w:rsid w:val="00C32BD7"/>
    <w:rsid w:val="00C371F7"/>
    <w:rsid w:val="00C43FC3"/>
    <w:rsid w:val="00C44559"/>
    <w:rsid w:val="00C51DCB"/>
    <w:rsid w:val="00C62BAE"/>
    <w:rsid w:val="00C704E8"/>
    <w:rsid w:val="00C94B94"/>
    <w:rsid w:val="00CA1F88"/>
    <w:rsid w:val="00CA6ADE"/>
    <w:rsid w:val="00CB52C5"/>
    <w:rsid w:val="00CC0287"/>
    <w:rsid w:val="00CC7D2D"/>
    <w:rsid w:val="00CE2A24"/>
    <w:rsid w:val="00D27F11"/>
    <w:rsid w:val="00D56D72"/>
    <w:rsid w:val="00D64399"/>
    <w:rsid w:val="00D710E8"/>
    <w:rsid w:val="00D82A97"/>
    <w:rsid w:val="00DB3B35"/>
    <w:rsid w:val="00DC3FD3"/>
    <w:rsid w:val="00DE2975"/>
    <w:rsid w:val="00DE5445"/>
    <w:rsid w:val="00E00B83"/>
    <w:rsid w:val="00E03C81"/>
    <w:rsid w:val="00E1185C"/>
    <w:rsid w:val="00E15964"/>
    <w:rsid w:val="00E2641A"/>
    <w:rsid w:val="00EC4700"/>
    <w:rsid w:val="00EF0C83"/>
    <w:rsid w:val="00EF1DAE"/>
    <w:rsid w:val="00F11494"/>
    <w:rsid w:val="00F14FB2"/>
    <w:rsid w:val="00F26304"/>
    <w:rsid w:val="00F53E6C"/>
    <w:rsid w:val="00F81E49"/>
    <w:rsid w:val="00F93CBE"/>
    <w:rsid w:val="00F97657"/>
    <w:rsid w:val="00FE0FD4"/>
    <w:rsid w:val="00FF31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9AE2B3"/>
  <w15:chartTrackingRefBased/>
  <w15:docId w15:val="{5610D0C3-0880-42A5-A345-7919B74EE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1C72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link w:val="Nadpis2Char"/>
    <w:uiPriority w:val="9"/>
    <w:qFormat/>
    <w:rsid w:val="00376638"/>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next w:val="Normlny"/>
    <w:link w:val="Nadpis3Char"/>
    <w:uiPriority w:val="9"/>
    <w:semiHidden/>
    <w:unhideWhenUsed/>
    <w:qFormat/>
    <w:rsid w:val="008F551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5747DC"/>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700A48"/>
    <w:rPr>
      <w:sz w:val="16"/>
      <w:szCs w:val="16"/>
    </w:rPr>
  </w:style>
  <w:style w:type="paragraph" w:styleId="Textkomentra">
    <w:name w:val="annotation text"/>
    <w:basedOn w:val="Normlny"/>
    <w:link w:val="TextkomentraChar"/>
    <w:uiPriority w:val="99"/>
    <w:unhideWhenUsed/>
    <w:rsid w:val="00700A48"/>
    <w:pPr>
      <w:spacing w:line="240" w:lineRule="auto"/>
    </w:pPr>
    <w:rPr>
      <w:sz w:val="20"/>
      <w:szCs w:val="20"/>
    </w:rPr>
  </w:style>
  <w:style w:type="character" w:customStyle="1" w:styleId="TextkomentraChar">
    <w:name w:val="Text komentára Char"/>
    <w:basedOn w:val="Predvolenpsmoodseku"/>
    <w:link w:val="Textkomentra"/>
    <w:uiPriority w:val="99"/>
    <w:rsid w:val="00700A48"/>
    <w:rPr>
      <w:sz w:val="20"/>
      <w:szCs w:val="20"/>
    </w:rPr>
  </w:style>
  <w:style w:type="paragraph" w:styleId="Predmetkomentra">
    <w:name w:val="annotation subject"/>
    <w:basedOn w:val="Textkomentra"/>
    <w:next w:val="Textkomentra"/>
    <w:link w:val="PredmetkomentraChar"/>
    <w:uiPriority w:val="99"/>
    <w:semiHidden/>
    <w:unhideWhenUsed/>
    <w:rsid w:val="00700A48"/>
    <w:rPr>
      <w:b/>
      <w:bCs/>
    </w:rPr>
  </w:style>
  <w:style w:type="character" w:customStyle="1" w:styleId="PredmetkomentraChar">
    <w:name w:val="Predmet komentára Char"/>
    <w:basedOn w:val="TextkomentraChar"/>
    <w:link w:val="Predmetkomentra"/>
    <w:uiPriority w:val="99"/>
    <w:semiHidden/>
    <w:rsid w:val="00700A48"/>
    <w:rPr>
      <w:b/>
      <w:bCs/>
      <w:sz w:val="20"/>
      <w:szCs w:val="20"/>
    </w:rPr>
  </w:style>
  <w:style w:type="paragraph" w:styleId="Revzia">
    <w:name w:val="Revision"/>
    <w:hidden/>
    <w:uiPriority w:val="99"/>
    <w:semiHidden/>
    <w:rsid w:val="00700A48"/>
    <w:pPr>
      <w:spacing w:after="0" w:line="240" w:lineRule="auto"/>
    </w:pPr>
  </w:style>
  <w:style w:type="character" w:styleId="Hypertextovprepojenie">
    <w:name w:val="Hyperlink"/>
    <w:basedOn w:val="Predvolenpsmoodseku"/>
    <w:uiPriority w:val="99"/>
    <w:unhideWhenUsed/>
    <w:rsid w:val="005C4CE0"/>
    <w:rPr>
      <w:color w:val="0000FF"/>
      <w:u w:val="single"/>
    </w:rPr>
  </w:style>
  <w:style w:type="character" w:styleId="Vrazn">
    <w:name w:val="Strong"/>
    <w:basedOn w:val="Predvolenpsmoodseku"/>
    <w:uiPriority w:val="22"/>
    <w:qFormat/>
    <w:rsid w:val="00750989"/>
    <w:rPr>
      <w:b/>
      <w:bCs/>
    </w:rPr>
  </w:style>
  <w:style w:type="character" w:customStyle="1" w:styleId="sup">
    <w:name w:val="sup"/>
    <w:basedOn w:val="Predvolenpsmoodseku"/>
    <w:rsid w:val="00CC0287"/>
  </w:style>
  <w:style w:type="character" w:customStyle="1" w:styleId="Nevyrieenzmienka1">
    <w:name w:val="Nevyriešená zmienka1"/>
    <w:basedOn w:val="Predvolenpsmoodseku"/>
    <w:uiPriority w:val="99"/>
    <w:semiHidden/>
    <w:unhideWhenUsed/>
    <w:rsid w:val="00376638"/>
    <w:rPr>
      <w:color w:val="605E5C"/>
      <w:shd w:val="clear" w:color="auto" w:fill="E1DFDD"/>
    </w:rPr>
  </w:style>
  <w:style w:type="character" w:customStyle="1" w:styleId="Nadpis2Char">
    <w:name w:val="Nadpis 2 Char"/>
    <w:basedOn w:val="Predvolenpsmoodseku"/>
    <w:link w:val="Nadpis2"/>
    <w:uiPriority w:val="9"/>
    <w:rsid w:val="00376638"/>
    <w:rPr>
      <w:rFonts w:ascii="Times New Roman" w:eastAsia="Times New Roman" w:hAnsi="Times New Roman" w:cs="Times New Roman"/>
      <w:b/>
      <w:bCs/>
      <w:sz w:val="36"/>
      <w:szCs w:val="36"/>
      <w:lang w:eastAsia="sk-SK"/>
    </w:rPr>
  </w:style>
  <w:style w:type="character" w:customStyle="1" w:styleId="gmail-msocommentreference">
    <w:name w:val="gmail-msocommentreference"/>
    <w:basedOn w:val="Predvolenpsmoodseku"/>
    <w:rsid w:val="00DE2975"/>
  </w:style>
  <w:style w:type="paragraph" w:styleId="Odsekzoznamu">
    <w:name w:val="List Paragraph"/>
    <w:aliases w:val="numbered list,2,OBC Bullet,Normal 1,Task Body,Viñetas (Inicio Parrafo),Paragrafo elenco,3 Txt tabla,Zerrenda-paragrafoa,Fiche List Paragraph,Dot pt,F5 List Paragraph,List Paragraph1,No Spacing1,List Paragraph Char Char Char,Indicator Text"/>
    <w:basedOn w:val="Normlny"/>
    <w:link w:val="OdsekzoznamuChar"/>
    <w:uiPriority w:val="34"/>
    <w:qFormat/>
    <w:rsid w:val="00646736"/>
    <w:pPr>
      <w:ind w:left="720"/>
      <w:contextualSpacing/>
    </w:pPr>
  </w:style>
  <w:style w:type="paragraph" w:styleId="Hlavika">
    <w:name w:val="header"/>
    <w:basedOn w:val="Normlny"/>
    <w:link w:val="HlavikaChar"/>
    <w:uiPriority w:val="99"/>
    <w:unhideWhenUsed/>
    <w:rsid w:val="005D4DF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D4DF9"/>
  </w:style>
  <w:style w:type="paragraph" w:styleId="Pta">
    <w:name w:val="footer"/>
    <w:basedOn w:val="Normlny"/>
    <w:link w:val="PtaChar"/>
    <w:uiPriority w:val="99"/>
    <w:unhideWhenUsed/>
    <w:rsid w:val="005D4DF9"/>
    <w:pPr>
      <w:tabs>
        <w:tab w:val="center" w:pos="4536"/>
        <w:tab w:val="right" w:pos="9072"/>
      </w:tabs>
      <w:spacing w:after="0" w:line="240" w:lineRule="auto"/>
    </w:pPr>
  </w:style>
  <w:style w:type="character" w:customStyle="1" w:styleId="PtaChar">
    <w:name w:val="Päta Char"/>
    <w:basedOn w:val="Predvolenpsmoodseku"/>
    <w:link w:val="Pta"/>
    <w:uiPriority w:val="99"/>
    <w:rsid w:val="005D4DF9"/>
  </w:style>
  <w:style w:type="character" w:customStyle="1" w:styleId="OdsekzoznamuChar">
    <w:name w:val="Odsek zoznamu Char"/>
    <w:aliases w:val="numbered list Char,2 Char,OBC Bullet Char,Normal 1 Char,Task Body Char,Viñetas (Inicio Parrafo) Char,Paragrafo elenco Char,3 Txt tabla Char,Zerrenda-paragrafoa Char,Fiche List Paragraph Char,Dot pt Char,F5 List Paragraph Char"/>
    <w:basedOn w:val="Predvolenpsmoodseku"/>
    <w:link w:val="Odsekzoznamu"/>
    <w:uiPriority w:val="34"/>
    <w:qFormat/>
    <w:locked/>
    <w:rsid w:val="00DE5445"/>
  </w:style>
  <w:style w:type="paragraph" w:styleId="Textpoznmkypodiarou">
    <w:name w:val="footnote text"/>
    <w:aliases w:val="Footnote Text Char,Znak"/>
    <w:basedOn w:val="Normlny"/>
    <w:link w:val="TextpoznmkypodiarouChar"/>
    <w:uiPriority w:val="99"/>
    <w:semiHidden/>
    <w:unhideWhenUsed/>
    <w:rsid w:val="00942627"/>
    <w:pPr>
      <w:spacing w:after="0" w:line="240" w:lineRule="auto"/>
    </w:pPr>
    <w:rPr>
      <w:sz w:val="20"/>
      <w:szCs w:val="20"/>
    </w:rPr>
  </w:style>
  <w:style w:type="character" w:customStyle="1" w:styleId="TextpoznmkypodiarouChar">
    <w:name w:val="Text poznámky pod čiarou Char"/>
    <w:aliases w:val="Footnote Text Char Char,Znak Char"/>
    <w:basedOn w:val="Predvolenpsmoodseku"/>
    <w:link w:val="Textpoznmkypodiarou"/>
    <w:uiPriority w:val="99"/>
    <w:semiHidden/>
    <w:rsid w:val="00942627"/>
    <w:rPr>
      <w:sz w:val="20"/>
      <w:szCs w:val="20"/>
    </w:rPr>
  </w:style>
  <w:style w:type="character" w:styleId="Odkaznapoznmkupodiarou">
    <w:name w:val="footnote reference"/>
    <w:aliases w:val="BVI fnr,(Footnote Reference),Footnote symbol,Footnotes refss,Footnote Reference Superscript,SUPERS,Footnote,Footnote reference number,note TESI,EN Footnote Reference,Voetnootverwijzing,Times 10 Point,Exposant 3 Point,number"/>
    <w:basedOn w:val="Predvolenpsmoodseku"/>
    <w:uiPriority w:val="99"/>
    <w:semiHidden/>
    <w:unhideWhenUsed/>
    <w:rsid w:val="00942627"/>
    <w:rPr>
      <w:vertAlign w:val="superscript"/>
    </w:rPr>
  </w:style>
  <w:style w:type="character" w:customStyle="1" w:styleId="Nadpis3Char">
    <w:name w:val="Nadpis 3 Char"/>
    <w:basedOn w:val="Predvolenpsmoodseku"/>
    <w:link w:val="Nadpis3"/>
    <w:uiPriority w:val="9"/>
    <w:semiHidden/>
    <w:rsid w:val="008F5517"/>
    <w:rPr>
      <w:rFonts w:asciiTheme="majorHAnsi" w:eastAsiaTheme="majorEastAsia" w:hAnsiTheme="majorHAnsi" w:cstheme="majorBidi"/>
      <w:color w:val="1F3763" w:themeColor="accent1" w:themeShade="7F"/>
      <w:sz w:val="24"/>
      <w:szCs w:val="24"/>
    </w:rPr>
  </w:style>
  <w:style w:type="character" w:customStyle="1" w:styleId="Nadpis1Char">
    <w:name w:val="Nadpis 1 Char"/>
    <w:basedOn w:val="Predvolenpsmoodseku"/>
    <w:link w:val="Nadpis1"/>
    <w:uiPriority w:val="9"/>
    <w:rsid w:val="001C72A4"/>
    <w:rPr>
      <w:rFonts w:asciiTheme="majorHAnsi" w:eastAsiaTheme="majorEastAsia" w:hAnsiTheme="majorHAnsi" w:cstheme="majorBidi"/>
      <w:color w:val="2F5496" w:themeColor="accent1" w:themeShade="BF"/>
      <w:sz w:val="32"/>
      <w:szCs w:val="32"/>
    </w:rPr>
  </w:style>
  <w:style w:type="paragraph" w:styleId="Textbubliny">
    <w:name w:val="Balloon Text"/>
    <w:basedOn w:val="Normlny"/>
    <w:link w:val="TextbublinyChar"/>
    <w:uiPriority w:val="99"/>
    <w:semiHidden/>
    <w:unhideWhenUsed/>
    <w:rsid w:val="002277C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277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158022">
      <w:bodyDiv w:val="1"/>
      <w:marLeft w:val="0"/>
      <w:marRight w:val="0"/>
      <w:marTop w:val="0"/>
      <w:marBottom w:val="0"/>
      <w:divBdr>
        <w:top w:val="none" w:sz="0" w:space="0" w:color="auto"/>
        <w:left w:val="none" w:sz="0" w:space="0" w:color="auto"/>
        <w:bottom w:val="none" w:sz="0" w:space="0" w:color="auto"/>
        <w:right w:val="none" w:sz="0" w:space="0" w:color="auto"/>
      </w:divBdr>
    </w:div>
    <w:div w:id="407113183">
      <w:bodyDiv w:val="1"/>
      <w:marLeft w:val="0"/>
      <w:marRight w:val="0"/>
      <w:marTop w:val="0"/>
      <w:marBottom w:val="0"/>
      <w:divBdr>
        <w:top w:val="none" w:sz="0" w:space="0" w:color="auto"/>
        <w:left w:val="none" w:sz="0" w:space="0" w:color="auto"/>
        <w:bottom w:val="none" w:sz="0" w:space="0" w:color="auto"/>
        <w:right w:val="none" w:sz="0" w:space="0" w:color="auto"/>
      </w:divBdr>
      <w:divsChild>
        <w:div w:id="988360841">
          <w:marLeft w:val="0"/>
          <w:marRight w:val="0"/>
          <w:marTop w:val="0"/>
          <w:marBottom w:val="0"/>
          <w:divBdr>
            <w:top w:val="none" w:sz="0" w:space="0" w:color="auto"/>
            <w:left w:val="none" w:sz="0" w:space="0" w:color="auto"/>
            <w:bottom w:val="none" w:sz="0" w:space="0" w:color="auto"/>
            <w:right w:val="none" w:sz="0" w:space="0" w:color="auto"/>
          </w:divBdr>
          <w:divsChild>
            <w:div w:id="1378120252">
              <w:marLeft w:val="0"/>
              <w:marRight w:val="0"/>
              <w:marTop w:val="0"/>
              <w:marBottom w:val="0"/>
              <w:divBdr>
                <w:top w:val="none" w:sz="0" w:space="0" w:color="auto"/>
                <w:left w:val="none" w:sz="0" w:space="0" w:color="auto"/>
                <w:bottom w:val="none" w:sz="0" w:space="0" w:color="auto"/>
                <w:right w:val="none" w:sz="0" w:space="0" w:color="auto"/>
              </w:divBdr>
            </w:div>
            <w:div w:id="1135757196">
              <w:marLeft w:val="0"/>
              <w:marRight w:val="0"/>
              <w:marTop w:val="0"/>
              <w:marBottom w:val="0"/>
              <w:divBdr>
                <w:top w:val="none" w:sz="0" w:space="0" w:color="auto"/>
                <w:left w:val="none" w:sz="0" w:space="0" w:color="auto"/>
                <w:bottom w:val="none" w:sz="0" w:space="0" w:color="auto"/>
                <w:right w:val="none" w:sz="0" w:space="0" w:color="auto"/>
              </w:divBdr>
            </w:div>
            <w:div w:id="1905530144">
              <w:marLeft w:val="0"/>
              <w:marRight w:val="0"/>
              <w:marTop w:val="0"/>
              <w:marBottom w:val="0"/>
              <w:divBdr>
                <w:top w:val="none" w:sz="0" w:space="0" w:color="auto"/>
                <w:left w:val="none" w:sz="0" w:space="0" w:color="auto"/>
                <w:bottom w:val="none" w:sz="0" w:space="0" w:color="auto"/>
                <w:right w:val="none" w:sz="0" w:space="0" w:color="auto"/>
              </w:divBdr>
              <w:divsChild>
                <w:div w:id="1134100895">
                  <w:marLeft w:val="0"/>
                  <w:marRight w:val="0"/>
                  <w:marTop w:val="0"/>
                  <w:marBottom w:val="0"/>
                  <w:divBdr>
                    <w:top w:val="none" w:sz="0" w:space="0" w:color="auto"/>
                    <w:left w:val="none" w:sz="0" w:space="0" w:color="auto"/>
                    <w:bottom w:val="none" w:sz="0" w:space="0" w:color="auto"/>
                    <w:right w:val="none" w:sz="0" w:space="0" w:color="auto"/>
                  </w:divBdr>
                </w:div>
                <w:div w:id="1365668135">
                  <w:marLeft w:val="0"/>
                  <w:marRight w:val="0"/>
                  <w:marTop w:val="0"/>
                  <w:marBottom w:val="0"/>
                  <w:divBdr>
                    <w:top w:val="none" w:sz="0" w:space="0" w:color="auto"/>
                    <w:left w:val="none" w:sz="0" w:space="0" w:color="auto"/>
                    <w:bottom w:val="none" w:sz="0" w:space="0" w:color="auto"/>
                    <w:right w:val="none" w:sz="0" w:space="0" w:color="auto"/>
                  </w:divBdr>
                </w:div>
                <w:div w:id="552275281">
                  <w:marLeft w:val="0"/>
                  <w:marRight w:val="0"/>
                  <w:marTop w:val="0"/>
                  <w:marBottom w:val="0"/>
                  <w:divBdr>
                    <w:top w:val="none" w:sz="0" w:space="0" w:color="auto"/>
                    <w:left w:val="none" w:sz="0" w:space="0" w:color="auto"/>
                    <w:bottom w:val="none" w:sz="0" w:space="0" w:color="auto"/>
                    <w:right w:val="none" w:sz="0" w:space="0" w:color="auto"/>
                  </w:divBdr>
                </w:div>
              </w:divsChild>
            </w:div>
            <w:div w:id="110160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84780">
      <w:bodyDiv w:val="1"/>
      <w:marLeft w:val="0"/>
      <w:marRight w:val="0"/>
      <w:marTop w:val="0"/>
      <w:marBottom w:val="0"/>
      <w:divBdr>
        <w:top w:val="none" w:sz="0" w:space="0" w:color="auto"/>
        <w:left w:val="none" w:sz="0" w:space="0" w:color="auto"/>
        <w:bottom w:val="none" w:sz="0" w:space="0" w:color="auto"/>
        <w:right w:val="none" w:sz="0" w:space="0" w:color="auto"/>
      </w:divBdr>
    </w:div>
    <w:div w:id="493909893">
      <w:bodyDiv w:val="1"/>
      <w:marLeft w:val="0"/>
      <w:marRight w:val="0"/>
      <w:marTop w:val="0"/>
      <w:marBottom w:val="0"/>
      <w:divBdr>
        <w:top w:val="none" w:sz="0" w:space="0" w:color="auto"/>
        <w:left w:val="none" w:sz="0" w:space="0" w:color="auto"/>
        <w:bottom w:val="none" w:sz="0" w:space="0" w:color="auto"/>
        <w:right w:val="none" w:sz="0" w:space="0" w:color="auto"/>
      </w:divBdr>
    </w:div>
    <w:div w:id="892691052">
      <w:bodyDiv w:val="1"/>
      <w:marLeft w:val="0"/>
      <w:marRight w:val="0"/>
      <w:marTop w:val="0"/>
      <w:marBottom w:val="0"/>
      <w:divBdr>
        <w:top w:val="none" w:sz="0" w:space="0" w:color="auto"/>
        <w:left w:val="none" w:sz="0" w:space="0" w:color="auto"/>
        <w:bottom w:val="none" w:sz="0" w:space="0" w:color="auto"/>
        <w:right w:val="none" w:sz="0" w:space="0" w:color="auto"/>
      </w:divBdr>
    </w:div>
    <w:div w:id="1342703741">
      <w:bodyDiv w:val="1"/>
      <w:marLeft w:val="0"/>
      <w:marRight w:val="0"/>
      <w:marTop w:val="0"/>
      <w:marBottom w:val="0"/>
      <w:divBdr>
        <w:top w:val="none" w:sz="0" w:space="0" w:color="auto"/>
        <w:left w:val="none" w:sz="0" w:space="0" w:color="auto"/>
        <w:bottom w:val="none" w:sz="0" w:space="0" w:color="auto"/>
        <w:right w:val="none" w:sz="0" w:space="0" w:color="auto"/>
      </w:divBdr>
      <w:divsChild>
        <w:div w:id="1199393903">
          <w:marLeft w:val="0"/>
          <w:marRight w:val="0"/>
          <w:marTop w:val="0"/>
          <w:marBottom w:val="0"/>
          <w:divBdr>
            <w:top w:val="none" w:sz="0" w:space="0" w:color="auto"/>
            <w:left w:val="none" w:sz="0" w:space="0" w:color="auto"/>
            <w:bottom w:val="none" w:sz="0" w:space="0" w:color="auto"/>
            <w:right w:val="none" w:sz="0" w:space="0" w:color="auto"/>
          </w:divBdr>
          <w:divsChild>
            <w:div w:id="182828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3109">
      <w:bodyDiv w:val="1"/>
      <w:marLeft w:val="0"/>
      <w:marRight w:val="0"/>
      <w:marTop w:val="0"/>
      <w:marBottom w:val="0"/>
      <w:divBdr>
        <w:top w:val="none" w:sz="0" w:space="0" w:color="auto"/>
        <w:left w:val="none" w:sz="0" w:space="0" w:color="auto"/>
        <w:bottom w:val="none" w:sz="0" w:space="0" w:color="auto"/>
        <w:right w:val="none" w:sz="0" w:space="0" w:color="auto"/>
      </w:divBdr>
      <w:divsChild>
        <w:div w:id="1011496202">
          <w:marLeft w:val="0"/>
          <w:marRight w:val="0"/>
          <w:marTop w:val="0"/>
          <w:marBottom w:val="0"/>
          <w:divBdr>
            <w:top w:val="none" w:sz="0" w:space="0" w:color="auto"/>
            <w:left w:val="none" w:sz="0" w:space="0" w:color="auto"/>
            <w:bottom w:val="none" w:sz="0" w:space="0" w:color="auto"/>
            <w:right w:val="none" w:sz="0" w:space="0" w:color="auto"/>
          </w:divBdr>
        </w:div>
      </w:divsChild>
    </w:div>
    <w:div w:id="1771200663">
      <w:bodyDiv w:val="1"/>
      <w:marLeft w:val="0"/>
      <w:marRight w:val="0"/>
      <w:marTop w:val="0"/>
      <w:marBottom w:val="0"/>
      <w:divBdr>
        <w:top w:val="none" w:sz="0" w:space="0" w:color="auto"/>
        <w:left w:val="none" w:sz="0" w:space="0" w:color="auto"/>
        <w:bottom w:val="none" w:sz="0" w:space="0" w:color="auto"/>
        <w:right w:val="none" w:sz="0" w:space="0" w:color="auto"/>
      </w:divBdr>
    </w:div>
    <w:div w:id="1997414203">
      <w:bodyDiv w:val="1"/>
      <w:marLeft w:val="0"/>
      <w:marRight w:val="0"/>
      <w:marTop w:val="0"/>
      <w:marBottom w:val="0"/>
      <w:divBdr>
        <w:top w:val="none" w:sz="0" w:space="0" w:color="auto"/>
        <w:left w:val="none" w:sz="0" w:space="0" w:color="auto"/>
        <w:bottom w:val="none" w:sz="0" w:space="0" w:color="auto"/>
        <w:right w:val="none" w:sz="0" w:space="0" w:color="auto"/>
      </w:divBdr>
    </w:div>
    <w:div w:id="200589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food-farming-fisheries/farming/coronavirus-response_en" TargetMode="External"/><Relationship Id="rId13" Type="http://schemas.openxmlformats.org/officeDocument/2006/relationships/hyperlink" Target="https://ec.europa.eu/info/sites/info/files/2020-european-semester-stability-programme-annex-3-slovakia_sk.pdf" TargetMode="External"/><Relationship Id="rId3" Type="http://schemas.openxmlformats.org/officeDocument/2006/relationships/settings" Target="settings.xml"/><Relationship Id="rId7" Type="http://schemas.openxmlformats.org/officeDocument/2006/relationships/hyperlink" Target="https://www.slov-lex.sk/legislativne-procesy/SK/LP/2021/112" TargetMode="External"/><Relationship Id="rId12" Type="http://schemas.openxmlformats.org/officeDocument/2006/relationships/hyperlink" Target="https://ec.europa.eu/info/sites/info/files/2020-european-semester-stability-programme-annex-3-slovakia_sk.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info/sites/info/files/document_travail_service_part2_v3_en.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c.europa.eu/info/sites/info/files/document_travail_service_part1_v2_en.pdf" TargetMode="External"/><Relationship Id="rId4" Type="http://schemas.openxmlformats.org/officeDocument/2006/relationships/webSettings" Target="webSettings.xml"/><Relationship Id="rId9" Type="http://schemas.openxmlformats.org/officeDocument/2006/relationships/hyperlink" Target="https://www.europarl.europa.eu/doceo/document/P-9-2021-000175-ASW_EN.htm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sppk@sppk.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3911</Words>
  <Characters>22294</Characters>
  <Application>Microsoft Office Word</Application>
  <DocSecurity>0</DocSecurity>
  <Lines>185</Lines>
  <Paragraphs>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Miroslava Artimová</dc:creator>
  <cp:keywords/>
  <dc:description/>
  <cp:lastModifiedBy>Evka Gernátová</cp:lastModifiedBy>
  <cp:revision>10</cp:revision>
  <dcterms:created xsi:type="dcterms:W3CDTF">2021-03-22T05:46:00Z</dcterms:created>
  <dcterms:modified xsi:type="dcterms:W3CDTF">2021-03-22T08:03:00Z</dcterms:modified>
</cp:coreProperties>
</file>