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DBAC" w14:textId="77777777" w:rsidR="001F2C45" w:rsidRDefault="00D71C21">
      <w:pPr>
        <w:pStyle w:val="Pagedecouverture"/>
        <w:rPr>
          <w:noProof/>
        </w:rPr>
      </w:pPr>
      <w:bookmarkStart w:id="0" w:name="LW_BM_COVERPAGE"/>
      <w:r>
        <w:rPr>
          <w:noProof/>
          <w:lang w:eastAsia="sk-SK"/>
        </w:rPr>
        <w:drawing>
          <wp:inline distT="0" distB="0" distL="0" distR="0" wp14:anchorId="6D476978" wp14:editId="67A61003">
            <wp:extent cx="5724525" cy="4076700"/>
            <wp:effectExtent l="0" t="0" r="0" b="0"/>
            <wp:docPr id="1" name="Obrázok 1" descr="0FC6792D-6689-43EA-ABF5-47238F5E51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C6792D-6689-43EA-ABF5-47238F5E51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076700"/>
                    </a:xfrm>
                    <a:prstGeom prst="rect">
                      <a:avLst/>
                    </a:prstGeom>
                    <a:noFill/>
                    <a:ln>
                      <a:noFill/>
                    </a:ln>
                  </pic:spPr>
                </pic:pic>
              </a:graphicData>
            </a:graphic>
          </wp:inline>
        </w:drawing>
      </w:r>
    </w:p>
    <w:bookmarkEnd w:id="0"/>
    <w:p w14:paraId="7E6607C2" w14:textId="77777777" w:rsidR="001F2C45" w:rsidRDefault="001F2C45">
      <w:pPr>
        <w:rPr>
          <w:noProof/>
        </w:rPr>
        <w:sectPr w:rsidR="001F2C4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B44991C" w14:textId="77777777" w:rsidR="001F2C45" w:rsidRDefault="00303A9E">
      <w:pPr>
        <w:pStyle w:val="Typedudocument"/>
        <w:rPr>
          <w:noProof/>
        </w:rPr>
      </w:pPr>
      <w:r>
        <w:rPr>
          <w:noProof/>
        </w:rPr>
        <w:lastRenderedPageBreak/>
        <w:t>OZNÁMENIE KOMISIE EURÓPSKEMU PARLAMENTU, EURÓPSKEJ RADE A RADE</w:t>
      </w:r>
    </w:p>
    <w:p w14:paraId="01B295ED" w14:textId="77777777" w:rsidR="001F2C45" w:rsidRDefault="00303A9E">
      <w:pPr>
        <w:pStyle w:val="Titreobjet"/>
        <w:rPr>
          <w:noProof/>
        </w:rPr>
      </w:pPr>
      <w:r>
        <w:rPr>
          <w:noProof/>
        </w:rPr>
        <w:t>Posilnenie zelených jazdných pruhov s cieľom udržať chod ekonomiky počas druhej vlny pandémie COVID-19</w:t>
      </w:r>
    </w:p>
    <w:p w14:paraId="3B2E54E7"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Úvod</w:t>
      </w:r>
    </w:p>
    <w:p w14:paraId="7B7BF769"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Po tom, čo začiatkom jari 2020 prepukla pandémia COVID-19, členské štáty s cieľom chrániť verejné zdravie často fragmentovane a nekoordinovane zatvárali svoje hranice, a to aj preprave tovaru. Spočiatku tak došlo k narušeniu jednotného trhu, keďže nákladné vozidlá museli na hraniciach dlho čakať a nákladné lety sa zastavili úplne, čo spôsobilo nedostatok tovaru a neistotu jeho dodávok. Viedlo to k vykupovaniu tovaru z obáv z nedostatku, takže chýbal dokonca aj základný zdravotnícky tovar.</w:t>
      </w:r>
    </w:p>
    <w:p w14:paraId="5DCF71A7"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Komisia preto 23. marca prijala oznámenie o zelených jazdných pruhoch</w:t>
      </w:r>
      <w:r>
        <w:rPr>
          <w:rStyle w:val="Odkaznapoznmkupodiarou"/>
          <w:rFonts w:ascii="Times New Roman" w:hAnsi="Times New Roman" w:cs="Times New Roman"/>
          <w:noProof/>
          <w:sz w:val="24"/>
          <w:szCs w:val="24"/>
          <w:lang w:val="en-IE"/>
        </w:rPr>
        <w:footnoteReference w:id="2"/>
      </w:r>
      <w:r>
        <w:rPr>
          <w:rFonts w:ascii="Times New Roman" w:hAnsi="Times New Roman"/>
          <w:noProof/>
          <w:sz w:val="24"/>
          <w:szCs w:val="24"/>
        </w:rPr>
        <w:t xml:space="preserve"> v nadväznosti na usmernenia pre opatrenia v oblasti riadenia hraníc na ochranu zdravia a zabezpečenie dostupnosti tovaru a základných služieb</w:t>
      </w:r>
      <w:r>
        <w:rPr>
          <w:rStyle w:val="Odkaznapoznmkupodiarou"/>
          <w:rFonts w:ascii="Times New Roman" w:hAnsi="Times New Roman" w:cs="Times New Roman"/>
          <w:noProof/>
          <w:sz w:val="24"/>
          <w:szCs w:val="24"/>
        </w:rPr>
        <w:footnoteReference w:id="3"/>
      </w:r>
      <w:r>
        <w:rPr>
          <w:rFonts w:ascii="Times New Roman" w:hAnsi="Times New Roman"/>
          <w:noProof/>
          <w:sz w:val="24"/>
          <w:szCs w:val="24"/>
        </w:rPr>
        <w:t>. Ústrednou myšlienkou oznámenia o zelených jazdných pruhoch je zaručiť nepretržité fungovanie dodávateľských reťazcov na jednotnom trhu a predchádzať vzniku nedostatku tovaru. Stanovuje sa v ňom, že nákladné vozidlá by nemali pri prekračovaní vnútorných hraníc na transeurópskej dopravnej sieti (TEN-T) čakať celkovo viac než 15 minút bez ohľadu na to, aký tovar prepravujú, ako aj sprievodné ustanovenia týkajúce sa pracovníkov v doprave.</w:t>
      </w:r>
    </w:p>
    <w:p w14:paraId="7A47ECE8"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Zatváranie hraníc a opätovné zavádzanie ďalších opatrení či kontrol vzťahujúcich sa na pracovníkov v doprave, predovšetkým na hraniciach či tesne za nimi, môže spôsobiť závažné sociálne a hospodárske narušenie a viesť k veľkým problémom v doprave a logistike, ako aj v pohybe osôb – najmä v období krízy. Okrem toho nie je zatváranie hraníc preprave tovaru v tejto fáze účinné v boji proti šíreniu vírusu</w:t>
      </w:r>
      <w:r>
        <w:rPr>
          <w:rStyle w:val="Odkaznapoznmkupodiarou"/>
          <w:rFonts w:ascii="Times New Roman" w:hAnsi="Times New Roman" w:cs="Times New Roman"/>
          <w:noProof/>
          <w:sz w:val="24"/>
          <w:szCs w:val="24"/>
        </w:rPr>
        <w:footnoteReference w:id="4"/>
      </w:r>
      <w:r>
        <w:rPr>
          <w:noProof/>
        </w:rPr>
        <w:t>.</w:t>
      </w:r>
      <w:r>
        <w:rPr>
          <w:rFonts w:ascii="Times New Roman" w:hAnsi="Times New Roman"/>
          <w:noProof/>
          <w:sz w:val="24"/>
          <w:szCs w:val="24"/>
        </w:rPr>
        <w:t xml:space="preserve"> </w:t>
      </w:r>
    </w:p>
    <w:p w14:paraId="345866EF" w14:textId="77777777" w:rsidR="001F2C45" w:rsidRDefault="00303A9E">
      <w:pPr>
        <w:pStyle w:val="Odsekzoznamu"/>
        <w:numPr>
          <w:ilvl w:val="0"/>
          <w:numId w:val="2"/>
        </w:numPr>
        <w:spacing w:after="240" w:line="240" w:lineRule="auto"/>
        <w:ind w:left="720"/>
        <w:contextualSpacing w:val="0"/>
        <w:jc w:val="both"/>
        <w:rPr>
          <w:rFonts w:ascii="Times New Roman" w:hAnsi="Times New Roman" w:cs="Times New Roman"/>
          <w:noProof/>
          <w:sz w:val="24"/>
          <w:szCs w:val="24"/>
        </w:rPr>
      </w:pPr>
      <w:r>
        <w:rPr>
          <w:rFonts w:ascii="Times New Roman" w:hAnsi="Times New Roman"/>
          <w:noProof/>
          <w:sz w:val="24"/>
          <w:szCs w:val="24"/>
        </w:rPr>
        <w:t>Hlavný cieľ maximálnej dĺžky čakania podľa oznámenia o zelených jazdných pruhoch sa na väčšine cestných hraničných priechodov dosiahol.</w:t>
      </w:r>
    </w:p>
    <w:p w14:paraId="3E71B2F8" w14:textId="77777777" w:rsidR="001F2C45" w:rsidRDefault="00303A9E">
      <w:pPr>
        <w:pBdr>
          <w:top w:val="single" w:sz="4" w:space="1" w:color="auto"/>
          <w:left w:val="single" w:sz="4" w:space="4" w:color="auto"/>
          <w:bottom w:val="single" w:sz="4" w:space="1" w:color="auto"/>
          <w:right w:val="single" w:sz="4" w:space="4" w:color="auto"/>
        </w:pBdr>
        <w:spacing w:after="240"/>
        <w:ind w:left="360"/>
        <w:jc w:val="both"/>
        <w:rPr>
          <w:rFonts w:ascii="Times New Roman" w:hAnsi="Times New Roman" w:cs="Times New Roman"/>
          <w:noProof/>
          <w:sz w:val="24"/>
          <w:szCs w:val="24"/>
        </w:rPr>
      </w:pPr>
      <w:r>
        <w:rPr>
          <w:rFonts w:ascii="Times New Roman" w:hAnsi="Times New Roman"/>
          <w:noProof/>
          <w:sz w:val="24"/>
          <w:szCs w:val="24"/>
        </w:rPr>
        <w:t xml:space="preserve">19. marca 2020 boli čakacie časy pre kamióny na hraniciach veľmi dlhé a veľké kolóny sa tvorili na hraniciach medzi Nemeckom a Poľskom (20 až 50 km), Nemeckom a Francúzskom (vyše 20 km), Českom a Nemeckom (13 km) a Slovenskom (16 km), Slovenskom a Maďarskom (16 km) a medzi Maďarskom a Rumunskom (16 km). Na ostatných hraniciach boli čakacie časy od jednej do troch hodín: napríklad medzi Francúzskom a Talianskom, Francúzskom a Nemeckom, Slovinskom a Chorvátskom, Maďarskom a Rumunskom, Nemeckom a Belgickom, Slovenskom a Maďarskom. Ak by </w:t>
      </w:r>
      <w:r>
        <w:rPr>
          <w:rFonts w:ascii="Times New Roman" w:hAnsi="Times New Roman"/>
          <w:noProof/>
          <w:sz w:val="24"/>
          <w:szCs w:val="24"/>
        </w:rPr>
        <w:lastRenderedPageBreak/>
        <w:t>sa táto situácia nebola riešila, mohla viesť ku kolapsu vnútorného trhu s tovarom a k narušeniu dodávateľských reťazcov. Keď pandemická kríza vrcholila, preprava cestujúcich sa prakticky zastavila. Vďaka opatreniam na úrovni EÚ, ktoré sa vykonali v plnej spolupráci s členskými štátmi, mohol tovar naďalej prúdiť.</w:t>
      </w:r>
    </w:p>
    <w:p w14:paraId="2AEBAD43" w14:textId="77777777" w:rsidR="001F2C45" w:rsidRDefault="00303A9E">
      <w:pPr>
        <w:pBdr>
          <w:top w:val="single" w:sz="4" w:space="1" w:color="auto"/>
          <w:left w:val="single" w:sz="4" w:space="4" w:color="auto"/>
          <w:bottom w:val="single" w:sz="4" w:space="1" w:color="auto"/>
          <w:right w:val="single" w:sz="4" w:space="4" w:color="auto"/>
        </w:pBdr>
        <w:spacing w:after="240"/>
        <w:ind w:left="360"/>
        <w:jc w:val="both"/>
        <w:rPr>
          <w:rFonts w:ascii="Times New Roman" w:hAnsi="Times New Roman" w:cs="Times New Roman"/>
          <w:noProof/>
          <w:sz w:val="28"/>
          <w:szCs w:val="28"/>
        </w:rPr>
      </w:pPr>
      <w:r>
        <w:rPr>
          <w:rFonts w:ascii="Times New Roman" w:hAnsi="Times New Roman"/>
          <w:noProof/>
          <w:sz w:val="24"/>
          <w:szCs w:val="24"/>
        </w:rPr>
        <w:t xml:space="preserve">Súlad s oznámením o zelených jazdných pruhoch priniesol výrazné skrátenie čakacích časov na hraniciach, čím sa zlepšila situácia nákladnej dopravy. </w:t>
      </w:r>
    </w:p>
    <w:p w14:paraId="2E629CA9"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Teraz sa pandémia opäť hlási o slovo a je kľúčové minimalizovať mieru, v ktorej nové protipandemické opatrenia narušia chod hospodárstva a podnikov. Kríza silno zasiahla sektory priemyslu i dopravy, ktoré si už nemôžu dovoliť ďalšiu ranu. Vzhľadom na výrazný vplyv strát a hospodárskeho poklesu v dôsledku COVID-19 je teraz nevyhnutné udržať chod hospodárstva. Nákladná doprava má pre Úniu systémový význam, keďže udržiava hospodárstvo v pohybe tak z interného, ako aj medzinárodného hľadiska. Bude to možné iba vtedy, ak sa tovary a služby budú môcť voľne pohybovať na funkčnom a silnom vnútornom trhu a ak sa zabezpečí základná konektivita pre pracovníkov v doprave, ako aj cestujúcich, pokiaľ je to zlučiteľné s aspektmi ochrany verejného zdravia. Podniky, továrne, zdravotnícke zariadenia a obchod potrebujú záruku, že dodávateľské reťazce budú fungovať a pracovníci sa budú môcť presúvať aj cezhranične. </w:t>
      </w:r>
    </w:p>
    <w:p w14:paraId="1820D783"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Ciele oznámenia z marca 2020 sú stále plne relevantné. Sedem mesiacov od ich zavedenia však musíme vychádzajúc zo získaných poznatkov posilniť niektoré zásady oznámenia o zelených jazdných pruhoch, aby spĺňali podmienky druhej vlny. V tomto oznámení sa stanovujú opatrenia, ktoré budú naďalej chrániť tok tovaru a voľný pohyb pracovníkov v doprave cez hranice, zohľadňujúc zdvojenú výzvu ochrany zdravia i hospodárstva.</w:t>
      </w:r>
    </w:p>
    <w:p w14:paraId="3EF88772" w14:textId="77777777" w:rsidR="001F2C45" w:rsidRDefault="00303A9E">
      <w:pPr>
        <w:pStyle w:val="Odsekzoznamu"/>
        <w:numPr>
          <w:ilvl w:val="0"/>
          <w:numId w:val="2"/>
        </w:numPr>
        <w:spacing w:after="240" w:line="240" w:lineRule="auto"/>
        <w:ind w:left="714" w:hanging="357"/>
        <w:contextualSpacing w:val="0"/>
        <w:jc w:val="both"/>
        <w:rPr>
          <w:noProof/>
        </w:rPr>
      </w:pPr>
      <w:r>
        <w:rPr>
          <w:rFonts w:ascii="Times New Roman" w:hAnsi="Times New Roman"/>
          <w:noProof/>
          <w:sz w:val="24"/>
          <w:szCs w:val="24"/>
        </w:rPr>
        <w:t>Na to, aby iniciatíva EÚ „zelené jazdné pruhy“ mohla naďalej účinne podporovať hospodárstvo a prispievať k obnove, musíme odstrániť zvyšujúce bariéry a zachovať fungujúci jednotný trh. Znamená to zaručenie plynulosti nákladnej dopravy, podporu kritického personálu v doprave, zlepšenie multimodálnej logistiky a zabezpečenie nepretržitej minimálnej konektivity pre cestujúcich. Koordinácia, spolupráca a transparentnosť sa ukázali ako kľúčové a naďalej takými musia zostať, ak má byť jednotný trh pripravený na budúce krízy.</w:t>
      </w:r>
    </w:p>
    <w:p w14:paraId="5F70E57F"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Posilnenie zelených jazdných pruhov: záruka plynulosti nákladnej dopravy a logistiky</w:t>
      </w:r>
    </w:p>
    <w:p w14:paraId="0921251D" w14:textId="77777777" w:rsidR="001F2C45" w:rsidRDefault="00303A9E">
      <w:pPr>
        <w:pStyle w:val="Odsekzoznamu"/>
        <w:numPr>
          <w:ilvl w:val="0"/>
          <w:numId w:val="2"/>
        </w:numPr>
        <w:spacing w:after="120" w:line="240" w:lineRule="auto"/>
        <w:ind w:left="717"/>
        <w:jc w:val="both"/>
        <w:rPr>
          <w:rFonts w:ascii="Times New Roman" w:hAnsi="Times New Roman" w:cs="Times New Roman"/>
          <w:noProof/>
          <w:sz w:val="24"/>
          <w:szCs w:val="24"/>
        </w:rPr>
      </w:pPr>
      <w:r>
        <w:rPr>
          <w:rFonts w:ascii="Times New Roman" w:hAnsi="Times New Roman"/>
          <w:noProof/>
          <w:sz w:val="24"/>
          <w:szCs w:val="24"/>
        </w:rPr>
        <w:t>Hoci 90 % zo 178 hraničných priechodov v sieti TEN-T funguje v súlade s oznámením o zelených jazdných pruhoch, zhruba na 5 % hraničných priechodov sú čakacie časy stále vyše 15 minút – predovšetkým na hraniciach v rámci EÚ s neschengenským priestorom. V záujme podpory nákladných tokov a dopravného sektora, zaistenia disponibility dodávateľských reťazcov a prevencie ďalšieho nedostatku produktov je načase zabezpečiť zavedenie potrebného riadenia dopravy, podporných služieb a vybavenia, aby sa minimalizovali omeškania.</w:t>
      </w:r>
    </w:p>
    <w:p w14:paraId="57997332" w14:textId="77777777" w:rsidR="001F2C45" w:rsidRDefault="001F2C45">
      <w:pPr>
        <w:pStyle w:val="Odsekzoznamu"/>
        <w:spacing w:after="120" w:line="240" w:lineRule="auto"/>
        <w:jc w:val="both"/>
        <w:rPr>
          <w:noProof/>
        </w:rPr>
      </w:pPr>
    </w:p>
    <w:p w14:paraId="34E51EB4"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Členské štáty prijímajú nové opatrenia, nastupujú čiastočné zákazy vychádzania a už prichádzajú správy a príklady, že pracovníci v doprave boli podrobení karanténe, zatvorili sa odpočívadlá a vodiči si nemohli obnoviť preukazy. Naďalej preto treba </w:t>
      </w:r>
      <w:r>
        <w:rPr>
          <w:rFonts w:ascii="Times New Roman" w:hAnsi="Times New Roman"/>
          <w:noProof/>
          <w:sz w:val="24"/>
          <w:szCs w:val="24"/>
        </w:rPr>
        <w:lastRenderedPageBreak/>
        <w:t>uplatňovať oznámenie o zelených jazdných pruhoch, aby doprava zostala plynulá, a podľa potreby ho ďalej zlepšovať, aby bez ohľadu na rozsah iných zavedených zdravotných opatrení platilo minimálne toto:</w:t>
      </w:r>
    </w:p>
    <w:p w14:paraId="54D7BB8D"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ku všetkým vozidlám/plavidlám a dopravnému personálu by sa naďalej malo pristupovať nediskriminačne bez ohľadu na ich pôvod, cieľ cesty, krajinu registrácie vozidla/plavidla alebo štátnu príslušnosť vodiča/posádky,</w:t>
      </w:r>
    </w:p>
    <w:p w14:paraId="7342FA18"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hraničné priechody so zeleným jazdným pruhom by mali môcť využiť vozidlá vezúce akýkoľvek tovar v rámci výkonu profesionálnej činnosti,</w:t>
      </w:r>
    </w:p>
    <w:p w14:paraId="6B815DCE"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 xml:space="preserve">dodatočné postupy na hraničných priechodoch v dôsledku pandémie COVID-19 by sa nemali uplatňovať vôbec, alebo by sa mali zjednodušiť len na to, čo je absolútne nevyhnutné. Od vodičov nákladných vozidiel by sa nemal žiadať žiaden iný dokument okrem ich dokladu totožnosti a vodičského preukazu, </w:t>
      </w:r>
    </w:p>
    <w:p w14:paraId="5CF8A809"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elektronické predkladanie/ukazovanie dokladov by sa malo považovať za dostatočné a malo byť sa podporovať (podotýkame, že niektoré členské štáty skutočne krízu využili na rozvoj tohto aspektu – pozri ďalej),</w:t>
      </w:r>
    </w:p>
    <w:p w14:paraId="4A535961"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b/>
          <w:noProof/>
          <w:sz w:val="24"/>
          <w:szCs w:val="24"/>
        </w:rPr>
      </w:pPr>
      <w:r>
        <w:rPr>
          <w:rFonts w:ascii="Times New Roman" w:hAnsi="Times New Roman"/>
          <w:noProof/>
          <w:sz w:val="24"/>
          <w:szCs w:val="24"/>
        </w:rPr>
        <w:t>mali by sa zachovať dopravné koridory naprieč členskými štátmi, aspoň na sieti TEN-T. Mal by sa umožniť tranzit vozidiel súkromných vodičov i kolektívnej dopravy cez každú krajinu bez ohľadu na to, z ktorej zóny prichádzajú, bez testovania, pokiaľ zostanú len v príslušnom tranzitnom dopravnom koridore/koridoroch,</w:t>
      </w:r>
    </w:p>
    <w:p w14:paraId="7A98BE98"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v rozsahu a na čas potrebný na riešenie nahromadených omeškaní by členské štáty mohli poskytovať výnimky z dopravných obmedzení, ktoré sú momentálne v platnosti (zákaz jazdy cez víkend, v noci, v určitých sektoroch, hlukové obmedzenia atď.) v záujme plynulosti nákladnej dopravy,</w:t>
      </w:r>
    </w:p>
    <w:p w14:paraId="50D4BDAF" w14:textId="77777777" w:rsidR="001F2C45" w:rsidRDefault="00303A9E">
      <w:pPr>
        <w:pStyle w:val="Odsekzoznamu"/>
        <w:numPr>
          <w:ilvl w:val="0"/>
          <w:numId w:val="10"/>
        </w:numPr>
        <w:spacing w:after="12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zákazy vychádzania by sa nemali uplatňovať na nákladnú dopravu ani na pracovníkov v doprave,</w:t>
      </w:r>
    </w:p>
    <w:p w14:paraId="0C7DD525" w14:textId="77777777" w:rsidR="001F2C45" w:rsidRDefault="00303A9E">
      <w:pPr>
        <w:pStyle w:val="Odsekzoznamu"/>
        <w:numPr>
          <w:ilvl w:val="0"/>
          <w:numId w:val="10"/>
        </w:numPr>
        <w:spacing w:after="240" w:line="240" w:lineRule="auto"/>
        <w:ind w:left="1134" w:hanging="420"/>
        <w:contextualSpacing w:val="0"/>
        <w:jc w:val="both"/>
        <w:rPr>
          <w:rFonts w:ascii="Times New Roman" w:hAnsi="Times New Roman" w:cs="Times New Roman"/>
          <w:noProof/>
          <w:sz w:val="24"/>
          <w:szCs w:val="24"/>
        </w:rPr>
      </w:pPr>
      <w:r>
        <w:rPr>
          <w:rFonts w:ascii="Times New Roman" w:hAnsi="Times New Roman"/>
          <w:noProof/>
          <w:sz w:val="24"/>
          <w:szCs w:val="24"/>
        </w:rPr>
        <w:t>mala by sa zabezpečiť dostupnosť služieb ako prístup na čerpacie stanice, minimálna úroveň sanitárnych zariadení (napr. odpočívadlá s toaletami a sprchami), stravovania (napr. jedlo so sebou, automaty na potraviny) a ubytovacích služieb a členské štáty by mali identifikovať ich polohu v aplikácii Green Lanes – pozri ďalej.</w:t>
      </w:r>
    </w:p>
    <w:p w14:paraId="52669580"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Komisia uznáva, že dôvody dopravných zápch na viacerých hraniciach nesúvisia len s COVID-19 a na týchto hraničných priechodoch sa dlho čakalo už aj pred pandémiou, a to z organizačných aj infraštruktúrnych dôvodov, ako napríklad nedostatok príslušníkov pohraničnej stráže v prípade schengenských hraníc. Dnes je dôležité, aby členské štáty na základe koncepcie zelených jazdných pruhov optimalizovali prekračovanie hraníc inteligentnými systémami monitorovania hraníc, aby prehodnotili potrebnosť niektorých blokujúcich opatrení a zaviedli inteligentné systémy ako spoplatňovanie ciest bez potreby zastaviť vozidlo. Členským štátom zároveň pripomíname, že centrum ECDC odporúča, aby sa v súvislosti s COVID-19 dezinfekčné prostriedky nepoužívali neopodstatnene</w:t>
      </w:r>
      <w:r>
        <w:rPr>
          <w:rStyle w:val="Odkaznapoznmkupodiarou"/>
          <w:rFonts w:ascii="Times New Roman" w:hAnsi="Times New Roman" w:cs="Times New Roman"/>
          <w:noProof/>
          <w:sz w:val="24"/>
          <w:szCs w:val="24"/>
          <w:lang w:val="en-IE"/>
        </w:rPr>
        <w:footnoteReference w:id="5"/>
      </w:r>
      <w:r>
        <w:rPr>
          <w:rFonts w:ascii="Times New Roman" w:hAnsi="Times New Roman"/>
          <w:noProof/>
          <w:sz w:val="24"/>
          <w:szCs w:val="24"/>
        </w:rPr>
        <w:t>.</w:t>
      </w:r>
    </w:p>
    <w:p w14:paraId="44823E05"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COVID-19 bol veľkým stimulom k zavádzaniu digitálnych riešení. Dajú sa nimi urýchliť postupy a vodičom, podnikom i orgánom pomáhajú lepšie predvídať dopravnú situáciu a byť vždy pripravení. Tieto nástroje, ktoré využívajú elektronické prepravné a </w:t>
      </w:r>
      <w:r>
        <w:rPr>
          <w:rFonts w:ascii="Times New Roman" w:hAnsi="Times New Roman"/>
          <w:noProof/>
          <w:sz w:val="24"/>
          <w:szCs w:val="24"/>
        </w:rPr>
        <w:lastRenderedPageBreak/>
        <w:t xml:space="preserve">nákladné listy, IDS/RIS a elektronické vybavovanie colných formalít, by mali byť všeobecne dostupné, vždy uznávané a vyvinuté so zreteľom na jednoduchosť používania a automatizáciu. Komisia bude naďalej poskytovať potrebný legislatívny rámec a finančnú podporu „bezpapierovej“ dopravy. </w:t>
      </w:r>
    </w:p>
    <w:p w14:paraId="53921C95"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Aplikáciu Green Lanes využívajúcu systém Galileo, ktorú v apríli sfunkčnila agentúra GSA, pozitívne ohodnotili zainteresované strany z odvetvia, ako aj členské štáty. Zabezpečila monitorovanie dodržiavania maximálneho limitu čakania 15 minút na každom hraničnom priechode, poskytovala služby vodičom kamiónov a podporu pre pohraničné orgány. Agentúra GSA aplikáciu čo najskôr opäť spustí. Členské štáty sa vyzývajú, aby Komisii poskytli relevantné informácie – napríklad o odpočívadlách a čerpacích staniciach, aby ich mohla do aplikácie Green Lanes zadať. Komisia zváži aj doplnkové funkcie aplikácie – napríklad jej rozšírenie o viaceré hraničné priechody na západnom Balkáne. Vodiči a cezhraniční pracovníci sa takisto vyzývajú, aby používali aplikácie na sledovanie kontaktov. </w:t>
      </w:r>
    </w:p>
    <w:p w14:paraId="275F6702"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Cestné kontroly nákladných vozidiel sú nevyhnutné na zaistenie bezpečnosti na cestách. Zároveň však ohrozujú zdravie a bezpečnosť vodičov i inšpektorov. Aby sa toto riziko počas kontrol zmiernilo, vyzývame členské štáty, aby v maximálnom možnom rozsahu nahradili fyzické kontroly bezkontaktnými a bezpapierovými postupmi, kde sa budú uznávať elektronické doklady a využívať digitálne riešenia, ktorými možno odčítať údaje z tachografu bez potreby vstúpiť do vozidla.</w:t>
      </w:r>
    </w:p>
    <w:p w14:paraId="11FF7A44"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Nákladná doprava sa samozrejme nekončí na hraniciach EÚ.</w:t>
      </w:r>
      <w:r>
        <w:rPr>
          <w:rFonts w:ascii="Times New Roman" w:hAnsi="Times New Roman"/>
          <w:b/>
          <w:noProof/>
          <w:sz w:val="24"/>
          <w:szCs w:val="24"/>
        </w:rPr>
        <w:t xml:space="preserve"> </w:t>
      </w:r>
      <w:r>
        <w:rPr>
          <w:rFonts w:ascii="Times New Roman" w:hAnsi="Times New Roman"/>
          <w:noProof/>
          <w:sz w:val="24"/>
          <w:szCs w:val="24"/>
        </w:rPr>
        <w:t>Usmernenia k zeleným jazdným pruhom prispievajú k zaisteniu plynulej mobility tovaru</w:t>
      </w:r>
      <w:r>
        <w:rPr>
          <w:rStyle w:val="Odkaznapoznmkupodiarou"/>
          <w:rFonts w:ascii="Times New Roman" w:hAnsi="Times New Roman" w:cs="Times New Roman"/>
          <w:noProof/>
          <w:sz w:val="24"/>
          <w:szCs w:val="24"/>
          <w:lang w:val="en-IE"/>
        </w:rPr>
        <w:footnoteReference w:id="6"/>
      </w:r>
      <w:r>
        <w:rPr>
          <w:rFonts w:ascii="Times New Roman" w:hAnsi="Times New Roman"/>
          <w:noProof/>
          <w:sz w:val="24"/>
          <w:szCs w:val="24"/>
        </w:rPr>
        <w:t xml:space="preserve"> a pracovníkov v doprave (vrátane námorníkov) na vonkajších hraniciach EÚ.</w:t>
      </w:r>
      <w:r>
        <w:rPr>
          <w:rFonts w:ascii="Times New Roman" w:hAnsi="Times New Roman"/>
          <w:b/>
          <w:noProof/>
          <w:sz w:val="24"/>
          <w:szCs w:val="24"/>
        </w:rPr>
        <w:t xml:space="preserve"> </w:t>
      </w:r>
      <w:r>
        <w:rPr>
          <w:rFonts w:ascii="Times New Roman" w:hAnsi="Times New Roman"/>
          <w:noProof/>
          <w:sz w:val="24"/>
          <w:szCs w:val="24"/>
        </w:rPr>
        <w:t xml:space="preserve">Je veľmi potrebné posilniť spoluprácu so všetkými susednými krajinami pri vykonávaní a koordinácii opatrení zelených jazdných pruhov, keďže ide o kľúčových partnerov EÚ. Vnútroštátne orgány členských štátov EHP a Švajčiarska, ako aj Spojeného kráľovstva, ktoré sa považuje za člena EÚ až do konca prechodného obdobia, úzko spolupracujú s členskými štátmi a Komisiou. Komisia sa usiluje o podporu zavádzania zelených jazdných pruhov v šiestich štátoch západného Balkánu (WB6). Táto iniciatíva, ktorá má zabezpečiť plynulý tranzit v rámci regiónu, ako aj medzi ním a EÚ, sa osvedčila ako veľmi úspešný príklad regionálnej spolupráce. </w:t>
      </w:r>
      <w:r>
        <w:rPr>
          <w:rFonts w:ascii="Times New Roman" w:hAnsi="Times New Roman"/>
          <w:noProof/>
          <w:sz w:val="24"/>
        </w:rPr>
        <w:t xml:space="preserve">Komisia sa bude naďalej usilovať o využitie plného potenciálu tejto iniciatívy a oceňuje užitočné diskusie v tejto oblasti so stálym sekretariátom Dopravného spoločenstva. </w:t>
      </w:r>
      <w:r>
        <w:rPr>
          <w:rFonts w:ascii="Times New Roman" w:hAnsi="Times New Roman"/>
          <w:noProof/>
          <w:sz w:val="24"/>
          <w:szCs w:val="24"/>
        </w:rPr>
        <w:t xml:space="preserve">Zároveň bude Komisia naďalej riešiť problémy s partnerskými krajinami, ktoré majú spoločnú pozemnú hranicu s EÚ (Východné partnerstvo a Turecko). Patrí sem spolupráca pri riešení pridlhého čakania na hraničných priechodoch, pričom cieľom je zabezpečiť neprerušený dovoz nevyhnutného tovaru (napr. zdravotníckeho materiálu). Jedným z mnohých príkladov využitia zelených jazdných pruhov na takýchto priechodoch je aj vývoz tovaru na humanitárnu a rozvojovú pomoc partnerským krajinám s cieľom reagovať na pandémiu COVID-19. </w:t>
      </w:r>
    </w:p>
    <w:p w14:paraId="11024192" w14:textId="77777777" w:rsidR="001F2C45" w:rsidRDefault="00303A9E">
      <w:pPr>
        <w:pStyle w:val="Odsekzoznamu"/>
        <w:numPr>
          <w:ilvl w:val="0"/>
          <w:numId w:val="3"/>
        </w:numPr>
        <w:spacing w:after="120" w:line="240" w:lineRule="auto"/>
        <w:ind w:left="567" w:hanging="567"/>
        <w:contextualSpacing w:val="0"/>
        <w:jc w:val="both"/>
        <w:rPr>
          <w:rFonts w:ascii="Times New Roman" w:hAnsi="Times New Roman" w:cs="Times New Roman"/>
          <w:b/>
          <w:noProof/>
          <w:sz w:val="24"/>
          <w:szCs w:val="24"/>
        </w:rPr>
      </w:pPr>
      <w:r>
        <w:rPr>
          <w:rFonts w:ascii="Times New Roman" w:hAnsi="Times New Roman"/>
          <w:b/>
          <w:noProof/>
          <w:sz w:val="24"/>
          <w:szCs w:val="24"/>
        </w:rPr>
        <w:t xml:space="preserve">Pracovníci v doprave patria medzi kritický personál </w:t>
      </w:r>
    </w:p>
    <w:p w14:paraId="1E9A40BA"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Pracovníci v doprave sú nenahraditeľní pri udržiavaní hospodárstva v pohybe. Keď v Európe na jar 2020 platil zákaz vychádzania, pracovníci v doprave si naďalej plnili </w:t>
      </w:r>
      <w:r>
        <w:rPr>
          <w:rFonts w:ascii="Times New Roman" w:hAnsi="Times New Roman"/>
          <w:noProof/>
          <w:sz w:val="24"/>
          <w:szCs w:val="24"/>
        </w:rPr>
        <w:lastRenderedPageBreak/>
        <w:t xml:space="preserve">povinnosti (podľa potreby aj cezhranične), aby sa zásobovanie naďalej hýbalo, pričom niekedy riskovali vlastné zdravie a pohodu. </w:t>
      </w:r>
    </w:p>
    <w:p w14:paraId="1EB1EC60" w14:textId="77777777" w:rsidR="001F2C45" w:rsidRDefault="00303A9E">
      <w:pPr>
        <w:pStyle w:val="Odsekzoznamu"/>
        <w:numPr>
          <w:ilvl w:val="0"/>
          <w:numId w:val="2"/>
        </w:numPr>
        <w:spacing w:after="240" w:line="240" w:lineRule="auto"/>
        <w:ind w:left="700"/>
        <w:contextualSpacing w:val="0"/>
        <w:jc w:val="both"/>
        <w:rPr>
          <w:rFonts w:ascii="Times New Roman" w:hAnsi="Times New Roman" w:cs="Times New Roman"/>
          <w:noProof/>
          <w:sz w:val="24"/>
          <w:szCs w:val="24"/>
        </w:rPr>
      </w:pPr>
      <w:r>
        <w:rPr>
          <w:rFonts w:ascii="Times New Roman" w:hAnsi="Times New Roman"/>
          <w:noProof/>
          <w:sz w:val="24"/>
          <w:szCs w:val="24"/>
        </w:rPr>
        <w:t>V súlade s bodom 19 písm. b) odporúčania Rady (EÚ) 2020/1475</w:t>
      </w:r>
      <w:r>
        <w:rPr>
          <w:rStyle w:val="Odkaznapoznmkupodiarou"/>
          <w:rFonts w:ascii="Times New Roman" w:hAnsi="Times New Roman" w:cs="Times New Roman"/>
          <w:noProof/>
          <w:sz w:val="24"/>
          <w:szCs w:val="24"/>
          <w:lang w:val="en-IE"/>
        </w:rPr>
        <w:footnoteReference w:id="7"/>
      </w:r>
      <w:r>
        <w:rPr>
          <w:rFonts w:ascii="Times New Roman" w:hAnsi="Times New Roman"/>
          <w:noProof/>
          <w:sz w:val="24"/>
          <w:szCs w:val="24"/>
        </w:rPr>
        <w:t xml:space="preserve"> by orgány všetkých členských štátov mali uznať a akceptovať pracovníkov v doprave ako kritický personál a poskytovateľov služieb a nemalo by sa od nich vyžadovať, aby sa pri výkone svojich kritických funkcií podrobovali karanténe. Mala by sa však zabezpečiť úplná ochrana ich zdravia, a to aj dostupnosťou primeraných osobných ochranných prostriedkov (OOP) tam, kde je to potrebné. </w:t>
      </w:r>
    </w:p>
    <w:p w14:paraId="2AC5D952"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Členské štáty by nemali vyžadovať systematické testovanie pracovníkov v doprave na hraničných priechodoch ani za hranicou. Viedlo by to k zbytočnému čakaniu v rade a negatívne ovplyvnilo čas potrebný na prekročenie hraníc. Zároveň to nie je reálne ani praktické pre pracovníkov v doprave, ktorí musia prekračovať hranice často niekoľkokrát za týždeň. </w:t>
      </w:r>
    </w:p>
    <w:p w14:paraId="032EEC58"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Zoznam povolaní spadajúcich pod definíciu pracovníka v doprave by nemal byť vyčerpávajúci. Okrem vodičov, palubného personálu, pilotov, kapitánov lodí a posádok by mal zahŕňať aj pracovníkov údržby, terminálov a riadenia dopravy, zamestnancov manažérov infraštruktúry pre nákladnú aj osobnú dopravu atď. Všetci títo pracovníci by mali mať možnosť pohybovať sa a prekračovať hranice bez akýchkoľvek obmedzení, a to akýmikoľvek dopravnými prostriedkami, ktoré potrebujú na prekročenie hranice, ak je to potrebné na plnenie ich povinností</w:t>
      </w:r>
      <w:r>
        <w:rPr>
          <w:rStyle w:val="Odkaznapoznmkupodiarou"/>
          <w:rFonts w:ascii="Times New Roman" w:hAnsi="Times New Roman" w:cs="Times New Roman"/>
          <w:noProof/>
          <w:sz w:val="24"/>
          <w:szCs w:val="24"/>
          <w:lang w:val="en-IE"/>
        </w:rPr>
        <w:footnoteReference w:id="8"/>
      </w:r>
      <w:r>
        <w:rPr>
          <w:rFonts w:ascii="Times New Roman" w:hAnsi="Times New Roman"/>
          <w:noProof/>
          <w:sz w:val="24"/>
          <w:szCs w:val="24"/>
        </w:rPr>
        <w:t xml:space="preserve">. </w:t>
      </w:r>
    </w:p>
    <w:p w14:paraId="3A2D9F5F"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Od marca Komisia navrhuje používanie štandardného „osvedčenia pre pracovníkov v medzinárodnej doprave“. Toto osvedčenie môže použiť každá osoba, ktorá pracuje na palube dopravného prostriedku prepravujúceho tovar alebo cestujúcich, najmä vodič; každá osoba, ktorá sa premiestňuje na miesto, kde sa nachádza dopravný prostriedok, na ktorom začne pracovať; alebo akákoľvek iná osoba pracujúca v doprave. Na účely prekročenia vnútorných hraníc Únie by sa držiteľ osvedčenia mal považovať za pracovníka v medzinárodnej doprave. Na účely, na ktoré sa vzťahuje osvedčenie pre pracovníkov v medzinárodnej doprave, by členské štáty nemali vyžadovať predkladanie žiadnych iných dokladov (napr. rôznych lokalizačných kariet atď.). Platí to najmä pre pozemné hranice. </w:t>
      </w:r>
    </w:p>
    <w:p w14:paraId="0347CA39"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Toto osvedčenie je uverejnené aj v prílohe 40 k Praktickej príručke EÚ pre príslušníkov pohraničnej stráže, ktorú majú príslušné orgány členských štátov používať pri kontrole hraníc</w:t>
      </w:r>
      <w:r>
        <w:rPr>
          <w:rStyle w:val="Odkaznapoznmkupodiarou"/>
          <w:rFonts w:ascii="Times New Roman" w:hAnsi="Times New Roman" w:cs="Times New Roman"/>
          <w:noProof/>
          <w:sz w:val="24"/>
          <w:szCs w:val="24"/>
          <w:lang w:val="en-IE"/>
        </w:rPr>
        <w:footnoteReference w:id="9"/>
      </w:r>
      <w:r>
        <w:rPr>
          <w:rFonts w:ascii="Times New Roman" w:hAnsi="Times New Roman"/>
          <w:noProof/>
          <w:sz w:val="24"/>
          <w:szCs w:val="24"/>
        </w:rPr>
        <w:t xml:space="preserve">. Komisia preskúma, či by Európska hospodárska komisia Organizácie Spojených národov (EHK OSN) mohla uznávanie tohto osvedčenia pracovníkov cestnej a železničnej dopravy zaviesť natrvalo, ako je to už v prípade leteckých a námorných posádok. </w:t>
      </w:r>
    </w:p>
    <w:p w14:paraId="7425947E"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Napriek tomu, že lodná doprava využíva námorníkov z celého sveta, globálne cestovné obmedzenia v súčasnosti bránia pravidelnej mobilite tohto kritického personálu. Mnohí námorníci sú momentálne uviaznutí na svojich plavidlách a pracujú už dlhšie než 11 </w:t>
      </w:r>
      <w:r>
        <w:rPr>
          <w:rFonts w:ascii="Times New Roman" w:hAnsi="Times New Roman"/>
          <w:noProof/>
          <w:sz w:val="24"/>
          <w:szCs w:val="24"/>
        </w:rPr>
        <w:lastRenderedPageBreak/>
        <w:t xml:space="preserve">mesiacov, čo je hranica stanovená medzinárodným právom, zatiaľ čo ich kolegovia na súši nemôžu vycestovať a prekročiť hranice, aby ich vystriedali. Hrozí tak, že sa prerušia dodávateľské reťazce a ohrozí bezpečnosť vodnej dopravy. </w:t>
      </w:r>
    </w:p>
    <w:p w14:paraId="60BE90EC"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Členské štáty by preto mali naďalej uľahčovať cestovanie námorníkom, zabezpečovať ich mobilitu a umožniť im nepretržité prekračovanie hraníc a tranzit</w:t>
      </w:r>
      <w:r>
        <w:rPr>
          <w:rStyle w:val="Odkaznapoznmkupodiarou"/>
          <w:rFonts w:ascii="Times New Roman" w:hAnsi="Times New Roman" w:cs="Times New Roman"/>
          <w:noProof/>
          <w:sz w:val="24"/>
          <w:szCs w:val="24"/>
          <w:lang w:val="en-IE"/>
        </w:rPr>
        <w:footnoteReference w:id="10"/>
      </w:r>
      <w:r>
        <w:rPr>
          <w:noProof/>
        </w:rPr>
        <w:t>.</w:t>
      </w:r>
      <w:r>
        <w:rPr>
          <w:rFonts w:ascii="Times New Roman" w:hAnsi="Times New Roman"/>
          <w:noProof/>
          <w:sz w:val="24"/>
          <w:szCs w:val="24"/>
        </w:rPr>
        <w:t xml:space="preserve"> Podobne ako pri pracovníkoch v doprave sa v bode 19 písm. h) odporúčania Rady (EÚ) 2020/1475 aj námorníci klasifikujú ako cestujúci, ktorí plnia úlohy zásadného významu alebo nevyhnutne musia cestovať a od ktorých by sa pri výkone tejto funkcie nemala vyžadovať karanténa. Okrem toho by členské štáty mali námorníkom sprístupniť vízové služby a umožniť bezpečné striedanie posádok vo svojich prístavoch. Vlastníci lodí by mali posádke poskytnúť prístup k primeraným OOP na ochranu vlastného zdravia a zdravia iných osôb pri cestovaní a na palube. V osobitnom kontexte diaľkovej námornej dopravy testovanie pred nalodením chráni námorníkov a zabraňuje prepuknutiu nákazy na plavidlách, ktoré sa plavia ďaleko od akéhokoľvek prístavu, takže sú odrezané od včasného prístupu k zdravotnej starostlivosti na súši. Útvary Komisie a Európska služba pre vonkajšiu činnosť budú pokračovať v spolupráci s príslušnými medzinárodnými organizáciami s cieľom zvýšiť mobilitu lodných posádok mimo Európy.</w:t>
      </w:r>
    </w:p>
    <w:p w14:paraId="09CA94EA"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Podobne aj kapitáni a posádky vnútrozemských plavidiel musia byť schopní nalodiť a vylodiť sa vo vnútrozemských prístavoch pozdĺž všetkých vodných ciest EÚ. Je veľmi dôležité, aby pracovníci vnútrozemskej dopravy mohli cestovať a prekračovať hranice členských štátov EÚ na zaistenie kontinuity logistických činností na vodných cestách EÚ. Obmedzenie voľného pohybu posádok vnútrozemských plavidiel môže viesť k riziku, že prevádzkovatelia lodí ohrozia súlad so smernicou 2014/112 o organizácii pracovného času vo vnútrozemskej vodnej doprave. Prevádzkovatelia vnútrozemských plavidiel by takisto mali sprístupniť posádkam primerané OOP na ochranu vlastného zdravia a zdravia cestujúcich. </w:t>
      </w:r>
    </w:p>
    <w:p w14:paraId="3BBF8D0E"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 xml:space="preserve">Lepšia koordinácia a informovanosť </w:t>
      </w:r>
    </w:p>
    <w:p w14:paraId="3E9326D5"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Na začiatku pandémie COVID-19 bola zriadená sieť národných kontaktných miest pre dopravu, ktorú viedla Komisia. Za vytvorením tejto neformálnej siete bola myšlienka podporiť koordináciu a výmenu informácií medzi správnymi orgánmi členských štátov, diskutovať o problémoch, získavať aktuálne údaje o situácii na hraniciach a vymieňať si osvedčené postupy. Rýchla výmena informácií medzi členskými štátmi podnietila včasnú vzájomnú spätnú väzbu o vnútroštátnych opatreniach, ktorými sa navzájom ovplyvňujú, posilnila dôveru a zmiernila prijímanie jednostranných opatrení.</w:t>
      </w:r>
    </w:p>
    <w:p w14:paraId="2E457D91"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Preto ak sa prostredníctvom integrovaných dojednaní EÚ o politickej reakcii na krízu (IPCR) spustí núdzová situácia alebo kríza, Komisia by mala aktivovať sieť národných kontaktných miest v záujme častejšej interakcie a informačných tokov. Členské štáty by mali určiť oficiálne národné kontaktné miesto na primerane vysokej úrovni, aby sa zabezpečila koordinácia medzi príslušnými vnútroštátnymi orgánmi. Národné kontaktné miesta pre dopravu by mali poskytovať potrebné informácie o problematických hraničných priechodoch a zasadať v prípade potreby okamžitých opatrení. Komisia dôrazne podporuje aktívnu a plnú účasť všetkých členských štátov.</w:t>
      </w:r>
    </w:p>
    <w:p w14:paraId="3AEEE264"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lastRenderedPageBreak/>
        <w:t>Národné kontaktné miesta členských štátov by mali poskytovať informácie o vnútroštátnych politických rozhodnutiach týkajúcich sa dopravy – najmä tých, ktoré majú vplyv na cezhraničný pohyb nákladu alebo cestujúcich, pohyb pracovníkov v doprave – podľa možností v dostatočnom predstihu pred zavedením týchto opatrení, aby sa umožnila spätná väzba a ostatným členským štátom a Komisii poskytla príležitosť reagovať. Členské štáty by mali podľa potreby zapojiť aj ďalšie príslušné ministerstvá a útvary a toto fórum môžu využiť na výmenu informácií a námetov na osvedčené postupy.</w:t>
      </w:r>
    </w:p>
    <w:p w14:paraId="796FF170"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Sieť sa ukázala ako účinný nástroj, ktorý umožnil rýchlu výmenu informácií a rozsiahle posúdenie vplyvov opatrení proti šíreniu s vplyvom na dopravu. V letných mesiacoch sa využívala menej, ale teraz navrhujeme sieť kontaktných miest obnoviť, aby sa zaoberala novým rozsahom zodpovedností spojených so zelenými jazdnými pruhmi, ktoré sú stanovené v tomto oznámení, ako to požadujú aj závery Rady – pozri ďalej.</w:t>
      </w:r>
    </w:p>
    <w:p w14:paraId="568E5118"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V záujme lepšieho prehľadu by všetky informácie o mobilite súkromných cestovateľov a profesionálnych poskytovateľov dopravných služieb mali byť dostupné na jednom aktuálnom a prehľadnom online úložisku. Komisia preto prenesie obsah webového sídla na sledovanie reakcie na COVID-19 („response tracker“) na webové stránky portálu Reopen EÚ.</w:t>
      </w:r>
    </w:p>
    <w:p w14:paraId="2CC9E5DA"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 xml:space="preserve">Multimodálne zelené jazdné pruhy </w:t>
      </w:r>
    </w:p>
    <w:p w14:paraId="5883B7C2"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V pôvodnom oznámení o zelených jazdných pruhoch sa uvádza, že prechod cez hraničný priechod so zeleným jazdným pruhom by nemal trvať dlhšie než 15 minút pre všetku nákladnú dopravu. Splnenie tohto 15-minútového cieľa si vyžaduje minimalizáciu všetkých kontrol, inšpekcií a skríningov. Platí to pre všetky nákladné vozidlá, vlaky, plavidlá a lietadlá. Cieľom je, aby sa dopravný sektor čo najviac zefektívnil a aby sa minimalizovali narušenia, ktoré prinášajú vysoké náklady. </w:t>
      </w:r>
    </w:p>
    <w:p w14:paraId="502D65F7"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Tlak na zmenu vyvolaný súčasnou krízou by mal viesť aj k zmenám v záujme jednotného trhu, udržateľnosti a digitalizácie, ktoré pripravia cestu k oživeniu. Komisia preto vyzýva na zabezpečenie multimodálneho a intermodálneho fungovania zelených jazdných pruhov, čím sa zabezpečí plné využitie potenciálu všetkých druhov dopravy. </w:t>
      </w:r>
    </w:p>
    <w:p w14:paraId="78ADA26C"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Pandémia COVID ukázala, že železničná nákladná doprava môže popri ekologických prínosoch byť aj spoľahlivým a odolným spôsobom dopravy. Železničná doprava bola počas krízy kľúčová pri udržiavaní neprerušených dodávateľských reťazcov, pričom intermodálna doprava si oproti čisto cestnej vyžaduje menej ľudských interakcií pri nakládke/vykládke a zapojených je aj menej vodičov. Pandémia priniesla zvláštnu situáciu, keď sa v dôsledku prudkého poklesu osobnej železničnej dopravy zrazu kapacita železničnej dopravy uvoľnila. Z monitorovania výkonnosti koridorov železničnej nákladnej dopravy vyplýva, že v počiatočnej fáze aprílových zákazov vychádzania, keď sa znížili toky cestujúcich, sa dochvíľnosť služieb železničnej nákladnej dopravy výrazne zvýšila: hlásené minúty meškania klesli o tretinu až polovicu</w:t>
      </w:r>
      <w:r>
        <w:rPr>
          <w:rStyle w:val="Odkaznapoznmkupodiarou"/>
          <w:rFonts w:ascii="Times New Roman" w:hAnsi="Times New Roman" w:cs="Times New Roman"/>
          <w:noProof/>
          <w:sz w:val="24"/>
          <w:szCs w:val="24"/>
          <w:lang w:val="en-IE"/>
        </w:rPr>
        <w:footnoteReference w:id="11"/>
      </w:r>
      <w:r>
        <w:rPr>
          <w:noProof/>
        </w:rPr>
        <w:t>.</w:t>
      </w:r>
      <w:r>
        <w:rPr>
          <w:rFonts w:ascii="Times New Roman" w:hAnsi="Times New Roman"/>
          <w:noProof/>
          <w:sz w:val="24"/>
          <w:szCs w:val="24"/>
        </w:rPr>
        <w:t xml:space="preserve"> </w:t>
      </w:r>
    </w:p>
    <w:p w14:paraId="383D0671"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Tieto zlepšené výsledky železničnej nákladnej dopravy treba zachovať. Manažéri infraštruktúry aj železničné podniky by sa mali zamerať na minimalizáciu meškaní na hraniciach a zvýšiť flexibilitu. Na to by železničné podniky mohli čo najlepšie využiť </w:t>
      </w:r>
      <w:r>
        <w:rPr>
          <w:rFonts w:ascii="Times New Roman" w:hAnsi="Times New Roman"/>
          <w:noProof/>
          <w:sz w:val="24"/>
          <w:szCs w:val="24"/>
        </w:rPr>
        <w:lastRenderedPageBreak/>
        <w:t>opatrenia medzinárodného riadenia nepredvídaných udalostí, ktoré boli prijaté po uzavretí trate Rastatt</w:t>
      </w:r>
      <w:r>
        <w:rPr>
          <w:rStyle w:val="Odkaznapoznmkupodiarou"/>
          <w:rFonts w:ascii="Times New Roman" w:hAnsi="Times New Roman" w:cs="Times New Roman"/>
          <w:noProof/>
          <w:sz w:val="24"/>
          <w:szCs w:val="24"/>
          <w:lang w:val="en-IE"/>
        </w:rPr>
        <w:footnoteReference w:id="12"/>
      </w:r>
      <w:r>
        <w:rPr>
          <w:rFonts w:ascii="Times New Roman" w:hAnsi="Times New Roman"/>
          <w:noProof/>
          <w:sz w:val="24"/>
          <w:szCs w:val="24"/>
        </w:rPr>
        <w:t>. Ponúkajú sieť na koordináciu a výmenu informácií na prevádzkovej úrovni v núdzových podmienkach. Komisia zváži predloženie právneho návrhu, ktorý by požadoval nepretržité monitorovanie dodržiavania grafikonu a dochvíľnosti nákladných vlakov na hraničných staniciach vrátane časov zotrvania v stanici uvedených na mape hraničných priechodov v prílohe.</w:t>
      </w:r>
    </w:p>
    <w:p w14:paraId="182CE49C"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S cieľom eliminovať zastavovanie na hraniciach z dôvodu technických kontrol, a tým urýchliť prekračovanie hraníc a dosiahnuť skutočný jednotný európsky železničný priestor, keďže technický pilier štvrtého železničného balíka je v platnosti vo všetkých členských štátoch od konca októbra, by členské štáty mali urýchliť odstraňovanie vnútroštátnych predpisov vyžadujúcich kontrolu vlakov na hraniciach (brzdové skúšky atď.) nad rámec toho, čo sa vyžaduje v pravidlách EÚ, ktoré samotné zaisťujú bezpečnosť úplne primerane. Takéto dodatočné kontroly v súčasnosti často trvajú oveľa dlhšie než cieľových 15 minút na prekročenie hranice. Manažéri infraštruktúry by mali podporovať spoľahlivosť železničnej nákladnej dopravy a rýchlosť prekračovania hraníc posilnenou spoluprácou</w:t>
      </w:r>
      <w:r>
        <w:rPr>
          <w:rStyle w:val="Odkaznapoznmkupodiarou"/>
          <w:rFonts w:ascii="Times New Roman" w:hAnsi="Times New Roman" w:cs="Times New Roman"/>
          <w:noProof/>
          <w:sz w:val="24"/>
          <w:szCs w:val="24"/>
          <w:lang w:val="en-IE"/>
        </w:rPr>
        <w:footnoteReference w:id="13"/>
      </w:r>
      <w:r>
        <w:rPr>
          <w:rFonts w:ascii="Times New Roman" w:hAnsi="Times New Roman"/>
          <w:noProof/>
          <w:sz w:val="24"/>
          <w:szCs w:val="24"/>
        </w:rPr>
        <w:t xml:space="preserve"> v oblasti prednostných pravidiel prideľovania železničnej kapacity a prevádzkového riadenia cezhraničných železničných služieb.</w:t>
      </w:r>
    </w:p>
    <w:p w14:paraId="0D4AFA0F"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Bez toho, aby sa ohrozila bezpečnosť, sa navrhuje umožniť rušňovodičom viesť vlaky s jazykovou úrovňou A2 (namiesto bežnej úrovne B1) s využitím flexibility, ktorá je k dispozícii podľa existujúcich pravidiel pre prevádzku vlakov na úsekoch medzi hraničnými stanicami v blízkosti hranice.</w:t>
      </w:r>
      <w:r>
        <w:rPr>
          <w:rFonts w:ascii="Times New Roman" w:hAnsi="Times New Roman" w:cs="Times New Roman"/>
          <w:noProof/>
          <w:vertAlign w:val="superscript"/>
          <w:lang w:val="en-IE"/>
        </w:rPr>
        <w:footnoteReference w:id="14"/>
      </w:r>
      <w:r>
        <w:rPr>
          <w:rFonts w:ascii="Times New Roman" w:hAnsi="Times New Roman"/>
          <w:noProof/>
          <w:sz w:val="24"/>
          <w:szCs w:val="24"/>
        </w:rPr>
        <w:t xml:space="preserve"> Tento prístup by bol obzvlášť vhodný pre „jednoduché“ cezhraničné trasy. Alternatívne by sa prekračovanie hraníc dalo uľahčiť zvýšením flexibility, pokiaľ ide o jazyky, ktoré môžu vodiči používať na komunikáciu o kritických bezpečnostných otázkach. Bolo by to možné, ak by sa komunikácia na úrovni vyžadovanej právom Únie dala zabezpečiť používaním jazykov, ktoré manažéri infraštruktúry zatiaľ neuviedli, ale ktoré ovládajú tak vodič, ako aj riadiace stredisko. A napokon, ďalšie uľahčenie nákladnej železničnej dopravy a zvýšenie kapacity by bolo možné, ak by členské štáty vytvorili mechanizmy medzi železničnými podnikmi, ktoré umožnia rušňovodičom s potrebnými špecifickými znalosťami trakcie v nákladnej doprave pracovať v kombinácii s vodičmi, ktorí zvyčajne pracujú v osobných vlakoch a majú potrebné jazykové/traťové znalosti na medzinárodných trasách.</w:t>
      </w:r>
    </w:p>
    <w:p w14:paraId="1067CC92"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Lodná doprava zostala aj počas pandémie plne funkčná, pričom do Európy dodávala potraviny, zdravotnícke vybavenie, energetické výrobky a iný tovar. Toto odvetvie prepravuje 75 % objemu obchodu EÚ so zvyškom sveta a 30 % nákladu v rámci vnútorného trhu. Jeho neprerušované fungovanie je preto kľúčové pre hospodárstvo EÚ a jej dodávky základného a iného tovaru.</w:t>
      </w:r>
    </w:p>
    <w:p w14:paraId="791FBC93"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lastRenderedPageBreak/>
        <w:t>Na zaistenie plynulej lodnej dopravy a nepretržitých obchodných tokov by sa vždy, keď je to možné, malo zabrániť presmerovaniu lodí a omeškaniam pri vstupe do prístavu. Členské štáty by mali povoliť striedanie posádok vo svojich prístavoch, pričom sa môže stať, že námorníci sa budú musieť ubytovať v hoteloch alebo dočasných ubytovacích zariadeniach, kým čakajú na svoje cestovné spoje alebo nástup do služby. Zabráni sa tak narušeniu prevádzky prístavov v dôsledku toho, že lode čakajú na vystriedanie posádky, alebo v dôsledku iných obmedzení súvisiacich s COVID-19.</w:t>
      </w:r>
    </w:p>
    <w:p w14:paraId="519254CE"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Členské štáty by mali pri uplatňovaní svojich vnútroštátnych pravidiel kontroly súladu plavidiel vnútrozemskej plavby orgánmi presadzovania práva vrátane vnútroštátnych ustanovení, ktorými sa transponuje smernica 2016/1629, zohľadniť potrebu zabrániť akémukoľvek zbytočnému zdržaniu dopravných operácií.</w:t>
      </w:r>
    </w:p>
    <w:p w14:paraId="75CC30FC"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Pokiaľ ide o osvedčenia členov posádky plavidiel vnútrozemskej plavby okrem tých, na ktoré sa vzťahuje smernica 96/50, členské štáty by mali pri uplatňovaní svojich vnútroštátnych ustanovení zabezpečiť, aby posádka vnútrozemskej plavby mohla pokračovať v činnosti vo svojich príslušných funkciách až do skončenia výnimočných obmedzení súvisiacich s pandémiou. Podobný prístup by sa mal uplatniť aj v prípade predlžovania pracovných zmlúv, ak nie je možné striedanie posádky z dôvodu jej nedostupnosti. Pre niektorých členov posádky nemusia byť možné pravidelné lekárske prehliadky, preto sa odporúčajú pragmatické riešenia, ktoré im výnimočne umožnia nastúpiť do služby alebo pokračovať v nej, ak je takáto možnosť stanovená vo vnútroštátnom práve. </w:t>
      </w:r>
    </w:p>
    <w:p w14:paraId="35801EB2"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Manažéri infraštruktúry by mali zabezpečiť flexibilnú prevádzku (24 hodín denne, 7 dní v týždni) všetkej cezhraničnej vnútrozemskej plavebnej infraštruktúry s cieľom umožniť prevádzku plavidiel a vyhnúť sa zbytočnému čakaniu.</w:t>
      </w:r>
    </w:p>
    <w:p w14:paraId="0F2662EA"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Prístavné a terminálové služby, ktoré sú základnou bránou pre svetový obchod a multimodálnu dopravu, zostali počas celej pandémie v prevádzke, pričom upravili svoje pracovné postupy tak, aby obmedzili ľudský kontakt pri kontrolách a prekládkach (napríklad automatické prihlasovanie na vstupnej bráne, regulovaný prístup k pultom, digitálny prenos prepravných dokladov), a používali OOP tam, kde sa kontaktu nedalo vyhnúť. Nákaza alebo karanténa u podstatnej časti terminálového personálu by mohla prerušiť logistický reťazec, čo by viedlo k omeškaniam v distribúcii tovaru a k narušeniu operácií v dodávateľskej časti reťazca. Na zabezpečenie plynulého presunu nákladu na rôzne druhy následnej dopravy by preto prevádzkovatelia terminálov a prístavov mali mať potrebné prostriedky na ochranu svojich pracovníkov a kontinuity prevádzky terminálov. Vždy, keď je to možné, by sa mala podporovať automatizácia prevádzky a digitálna výmena údajov namiesto papierových dokladov. </w:t>
      </w:r>
    </w:p>
    <w:p w14:paraId="4EAD7317"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Na jar a v lete čelili niektoré prístavy a vnútrozemské terminály v dôsledku narušenia dodávateľských reťazcov hromadeniu prázdnych kontajnerov, čo viedlo k preťaženiu nakládkových priestorov a narušeniu každodennej prevádzky. Prevádzkovatelia nákladnej lodnej dopravy by sa mali usilovať o zachovanie nepretržitého a stabilného toku svojich služieb, zatiaľ čo prístavné orgány by mali situáciu monitorovať a v prípade potreby pomáhať prevádzkovateľom terminálov pri riešení možných problémov spojených s narušeniami. Na uľahčenie toku tovaru v prístavoch by členské štáty mali, ak je to možné a potrebné, v rámci svojich právomocí podľa príslušných ustanovení práva Únie uplatňovať flexibilitu v colných konaniach a iných formalitách – napríklad pokiaľ ide o predlžovanie lehôt.</w:t>
      </w:r>
    </w:p>
    <w:p w14:paraId="6F250927" w14:textId="77777777" w:rsidR="001F2C45" w:rsidRDefault="00303A9E">
      <w:pPr>
        <w:pStyle w:val="Odsekzoznamu"/>
        <w:numPr>
          <w:ilvl w:val="0"/>
          <w:numId w:val="2"/>
        </w:numPr>
        <w:spacing w:after="240" w:line="240" w:lineRule="auto"/>
        <w:ind w:left="714" w:hanging="357"/>
        <w:contextualSpacing w:val="0"/>
        <w:jc w:val="both"/>
        <w:rPr>
          <w:rStyle w:val="Hyperlink1"/>
          <w:rFonts w:ascii="Times New Roman" w:hAnsi="Times New Roman" w:cs="Times New Roman"/>
          <w:noProof/>
          <w:sz w:val="24"/>
          <w:szCs w:val="24"/>
        </w:rPr>
      </w:pPr>
      <w:r>
        <w:rPr>
          <w:rFonts w:ascii="Times New Roman" w:hAnsi="Times New Roman"/>
          <w:noProof/>
          <w:sz w:val="24"/>
          <w:szCs w:val="24"/>
        </w:rPr>
        <w:lastRenderedPageBreak/>
        <w:t>Členské štáty zároveň zaviedli opatrenia na uľahčenie prepravy leteckého nákladu a v záujme kontinuity dodávateľského reťazca rýchlo zrušili všetky obmedzenia zakazujúce nákladné lety, ako aj neodôvodnené obmedzenia týkajúce sa posádok obsluhujúcich nákladné lety. Členské štáty by mali naďalej zabezpečovať plynulú nákladnú dopravu aj počas druhej a prípadných ďalších vĺn – vrátane trvalej prístupnosti letísk pre nákladnú dopravu alebo udržiavania dostatočných kapacít na manipuláciu s nákladom, keď sú letiská zatvorené z ekonomických dôvodov, aby sa zabránilo narušeniu prepravy tovaru.</w:t>
      </w:r>
    </w:p>
    <w:p w14:paraId="7ADD082A"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Cesta ku krízovému pohotovostnému plánu a k lepšiemu riešeniu výnimiek</w:t>
      </w:r>
    </w:p>
    <w:p w14:paraId="0C8F1BC9"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Vďaka výbornej spolupráci s Európskym parlamentom a Radou sa začiatkom tohto roka v rekordnom čase prijali núdzové právne predpisy a sektorové regulačné výnimky. Spolu s viacerými sektorovými usmerneniami Komisie zohrali kľúčovú úlohu pri pomoci prevádzkovateľom dopravy zvládnuť narušenie tokov a dodávateľských reťazcov. Promptné kroky v správnom čase a na správnom mieste sú rozhodujúcim faktorom. Právne predpisy EÚ však stále možno lepšie prispôsobiť krízovým situáciám.</w:t>
      </w:r>
    </w:p>
    <w:p w14:paraId="6929B07B"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Hoci za výnimočných okolností môže byť potrebné stanoviť výnimky z času jazdy a odpočinku vodičov, tieto výnimky musia byť len krátkodobé (napr. na riešenie dočasného nedostatku vodičov) a za žiadnych okolností by nemali ohroziť bezpečnosť a dôstojné pracovné podmienky vodičov ani transparentnosť pre orgány presadzovania práva. V situáciách, ktoré majú podobný vplyv na všetky členské štáty alebo väčšinu z nich, by bolo vhodnejšie, aby pre výnimky vo všetkých dotknutých členských štátoch platili podobné všeobecné zásady (začiatok, koniec, trvanie). Ako súčasť budúceho pohotovostného plánu, ktorý si nedávno vyžiadala Rada (pozri ďalej), Komisia zváži legislatívne zmeny v záujme efektívnejšieho systému výnimiek z pravidiel času jazdy a odpočinku v cestnej doprave. Na riešenie naliehavých potrieb v dôsledku ďalšej vlny pandémie COVID-19 Komisia poskytne členským štátom usmernenia s cieľom zabezpečiť minimálnu úroveň koordinácie prípadných výnimiek na vnútroštátnej úrovni. Bolo by napríklad vhodné povoliť podobné dočasné výnimky, aké sa prijali na jar v súvislosti s časom odpočinku a podmienkami pre vodičov nákladných vozidiel, ako napríklad časovo obmedzená možnosť spánku v kabíne.</w:t>
      </w:r>
    </w:p>
    <w:p w14:paraId="7F643CF1"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V súhrnnom nariadení</w:t>
      </w:r>
      <w:r>
        <w:rPr>
          <w:noProof/>
          <w:vertAlign w:val="superscript"/>
        </w:rPr>
        <w:footnoteReference w:id="15"/>
      </w:r>
      <w:r>
        <w:rPr>
          <w:rFonts w:ascii="Times New Roman" w:hAnsi="Times New Roman"/>
          <w:noProof/>
          <w:sz w:val="24"/>
          <w:szCs w:val="24"/>
        </w:rPr>
        <w:t xml:space="preserve"> sa stanovili časovo obmedzené výnimky z existujúcich pravidiel EÚ pre jednotlivé druhy pozemnej dopravy a pre námornú bezpečnosť. Stanovili sa v ňom dočasné opatrenia týkajúce sa predĺženia platnosti určitých osvedčení, preukazov a povolení, ako aj odkladu určitých pravidelných kontrol a školení. Všetky ustanovenia o flexibilite zahrnuté v tomto nariadení využili aspoň niektoré členské štáty, čo dokazuje, že boli skutočne potrebné a užitočné. Vzhľadom na druhú vlnu pandémie COVID-19 je Komisia pripravená navrhnúť takú aktualizáciu režimu, aby mohli prípadné potrebné výnimky využívať všetky členské štáty vrátane tých, ktoré využili možnosť neuplatňovať súčasné súhrnné nariadenie. </w:t>
      </w:r>
    </w:p>
    <w:p w14:paraId="4382D6B9"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Všetky legislatívne opatrenia tohto druhu majú však len povahu </w:t>
      </w:r>
      <w:r>
        <w:rPr>
          <w:rFonts w:ascii="Times New Roman" w:hAnsi="Times New Roman"/>
          <w:i/>
          <w:noProof/>
          <w:sz w:val="24"/>
          <w:szCs w:val="24"/>
        </w:rPr>
        <w:t>ad hoc</w:t>
      </w:r>
      <w:r>
        <w:rPr>
          <w:rFonts w:ascii="Times New Roman" w:hAnsi="Times New Roman"/>
          <w:noProof/>
          <w:sz w:val="24"/>
          <w:szCs w:val="24"/>
        </w:rPr>
        <w:t xml:space="preserve">, teda sú koncipované na konkrétne obdobie s časovo obmedzenými účinkami. V strednodobom </w:t>
      </w:r>
      <w:r>
        <w:rPr>
          <w:rFonts w:ascii="Times New Roman" w:hAnsi="Times New Roman"/>
          <w:noProof/>
          <w:sz w:val="24"/>
          <w:szCs w:val="24"/>
        </w:rPr>
        <w:lastRenderedPageBreak/>
        <w:t>horizonte by sa všetky právne predpisy v oblasti dopravy mali kontrolovať, aby sa overilo, či sú použiteľné v čase krízy. V prípade potreby by sa do nich mali zahrnúť osobitné ustanovenia umožňujúce riešenie núdzových situácií.</w:t>
      </w:r>
    </w:p>
    <w:p w14:paraId="0D7443B6"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V Dohovore Medzinárodnej organizácie práce o pracovných normách v námornej doprave (MLC) z roku 2006 sa stanovuje, že maximálne trvanie služby na palube pred tým, ako má námorník nárok na repatriáciu, by mala byť 11 mesiacov. Predĺženia tejto lehoty môžu negatívne ovplyvniť zdravie námorníkov, viesť k únave, a tým ohroziť námornú bezpečnosť. </w:t>
      </w:r>
    </w:p>
    <w:p w14:paraId="4056620D"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Osobitnú rolu pri zabezpečovaní vykonávania dohovoru MLC majú prístavné štáty. V Parížskom memorande o porozumení</w:t>
      </w:r>
      <w:r>
        <w:rPr>
          <w:rStyle w:val="Odkaznapoznmkupodiarou"/>
          <w:rFonts w:ascii="Times New Roman" w:hAnsi="Times New Roman" w:cs="Times New Roman"/>
          <w:noProof/>
          <w:sz w:val="24"/>
          <w:szCs w:val="24"/>
        </w:rPr>
        <w:footnoteReference w:id="16"/>
      </w:r>
      <w:r>
        <w:rPr>
          <w:rFonts w:ascii="Times New Roman" w:hAnsi="Times New Roman"/>
          <w:noProof/>
          <w:sz w:val="24"/>
          <w:szCs w:val="24"/>
        </w:rPr>
        <w:t xml:space="preserve"> sa orgány štátnej prístavnej kontroly členských krajín vyzývajú, aby sa pri všetkých inšpekciách zamerali na otázky súvisiace s dohovorom MLC a s vypršanými pracovnými zmluvami námorníkov. V obežníku sa uvádza, že „okolnosti, ktoré sťažujú alebo komplikujú repatriáciu, nepredstavujú prípad vyššej moci“. Komisia vyzýva členské štáty, aby sa riadili týmto prístupom.</w:t>
      </w:r>
    </w:p>
    <w:p w14:paraId="4CFC6AC2"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Inšpekcie štátnej prístavnej kontroly sú nevyhnutné na zaistenie bezpečnosti dopravy a mali by sa vykonávať pravidelne. Členské štáty alebo dotknuté príslušné orgány by mali zabezpečiť prístup inšpektorov k dostatočným zásobám OOP na ich ochranu počas týchto inšpekcií. Podobne ako v iných situáciách s návštevníkmi na palube by aj námorníci mali počas inšpekcií nosiť OOP, ktoré by mal vlastník lode poskytnúť v dostatočných množstvách. </w:t>
      </w:r>
    </w:p>
    <w:p w14:paraId="0A986CBF"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V prípade námorníkov sú osvedčenia (najmä lekárske) a súvisiace kontroly potrebné na zistenie ich pohody a zdravia, ako aj dostatočnej úrovne ich odbornej prípravy. Ich pravidelné obnovovanie a/alebo predlžovanie platnosti v súlade s požiadavkami platného práva Únie a medzinárodného práva zaisťuje námornú bezpečnosť a znižuje pravdepodobnosť nehôd.</w:t>
      </w:r>
    </w:p>
    <w:p w14:paraId="14908DD1" w14:textId="77777777" w:rsidR="001F2C45" w:rsidRDefault="00303A9E">
      <w:pPr>
        <w:pStyle w:val="Odsekzoznamu"/>
        <w:numPr>
          <w:ilvl w:val="0"/>
          <w:numId w:val="2"/>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V oblasti letectva sa vzhľadom na bezprecedentný pokles letovej prevádzky v dôsledku pandémie COVID-19 v dvoch nariadeniach</w:t>
      </w:r>
      <w:r>
        <w:rPr>
          <w:noProof/>
          <w:vertAlign w:val="superscript"/>
        </w:rPr>
        <w:footnoteReference w:id="17"/>
      </w:r>
      <w:r>
        <w:rPr>
          <w:rFonts w:ascii="Times New Roman" w:hAnsi="Times New Roman"/>
          <w:noProof/>
          <w:sz w:val="24"/>
          <w:szCs w:val="24"/>
        </w:rPr>
        <w:t xml:space="preserve"> stanovili dočasné výnimky z niektorých existujúcich pravidiel EÚ. Po prvé, pandémia skomplikovala dodržiavanie určitých ustanovení nariadenia o leteckých službách</w:t>
      </w:r>
      <w:r>
        <w:rPr>
          <w:rStyle w:val="Odkaznapoznmkupodiarou"/>
          <w:rFonts w:ascii="Times New Roman" w:hAnsi="Times New Roman"/>
          <w:noProof/>
          <w:sz w:val="24"/>
          <w:szCs w:val="24"/>
          <w:shd w:val="clear" w:color="auto" w:fill="FFFFFF"/>
        </w:rPr>
        <w:footnoteReference w:id="18"/>
      </w:r>
      <w:r>
        <w:rPr>
          <w:rFonts w:ascii="Times New Roman" w:hAnsi="Times New Roman"/>
          <w:noProof/>
          <w:sz w:val="24"/>
          <w:szCs w:val="24"/>
        </w:rPr>
        <w:t xml:space="preserve"> a smernice o pozemnej obsluhe</w:t>
      </w:r>
      <w:r>
        <w:rPr>
          <w:rStyle w:val="Odkaznapoznmkupodiarou"/>
          <w:rFonts w:ascii="Times New Roman" w:hAnsi="Times New Roman"/>
          <w:noProof/>
          <w:sz w:val="24"/>
          <w:szCs w:val="24"/>
          <w:shd w:val="clear" w:color="auto" w:fill="FFFFFF"/>
        </w:rPr>
        <w:footnoteReference w:id="19"/>
      </w:r>
      <w:r>
        <w:rPr>
          <w:rFonts w:ascii="Times New Roman" w:hAnsi="Times New Roman"/>
          <w:noProof/>
          <w:sz w:val="24"/>
          <w:szCs w:val="24"/>
        </w:rPr>
        <w:t>.</w:t>
      </w:r>
      <w:r>
        <w:rPr>
          <w:rFonts w:ascii="Times New Roman" w:hAnsi="Times New Roman"/>
          <w:noProof/>
          <w:sz w:val="24"/>
          <w:szCs w:val="24"/>
          <w:shd w:val="clear" w:color="auto" w:fill="FFFFFF"/>
        </w:rPr>
        <w:t xml:space="preserve"> </w:t>
      </w:r>
      <w:r>
        <w:rPr>
          <w:rFonts w:ascii="Times New Roman" w:hAnsi="Times New Roman"/>
          <w:noProof/>
          <w:sz w:val="24"/>
          <w:szCs w:val="24"/>
        </w:rPr>
        <w:t xml:space="preserve">Komisia prijala dočasné pravidlá, ktoré dotknutým zainteresovaným stranám, členským štátom a Komisii poskytujú potrebnú úľavu z určitých administratívnych pravidiel a zabezpečujú lepšiu finančnú perspektívu pre zainteresované strany v zasiahnutom sektore. Keďže kríza pretrváva, Komisia je pripravená v prípade potreby využiť svoje delegované právomoci na predĺženie príslušných výnimiek stanovených v nariadení o leteckých službách. Po druhé, pokiaľ ide o letiskové prevádzkové intervaly, zásada ich využitia alebo straty bola na leto 2020 pozastavená a Komisia odvtedy využila svoje delegované </w:t>
      </w:r>
      <w:r>
        <w:rPr>
          <w:rFonts w:ascii="Times New Roman" w:hAnsi="Times New Roman"/>
          <w:noProof/>
          <w:sz w:val="24"/>
          <w:szCs w:val="24"/>
        </w:rPr>
        <w:lastRenderedPageBreak/>
        <w:t>právomoci na predĺženie tejto výnimky aj na zimné plánovacie obdobie 2020/2021. Komisia okrem toho čoskoro navrhne zmenu pravidiel týkajúcich sa úľavy z využívania prevádzkových intervalov s cieľom zabezpečiť efektívne využívanie kapacity letísk a lepší súlad medzi touto úľavou a skutočnou a predpokladanou úrovňou letovej prevádzky. Zároveň bude cieľom zabrániť zneužívaniu tejto výnimky stanovením určitých podmienok jej využitia.</w:t>
      </w:r>
    </w:p>
    <w:p w14:paraId="089D47C5"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V nedávnych záveroch Rady</w:t>
      </w:r>
      <w:r>
        <w:rPr>
          <w:rStyle w:val="Odkaznapoznmkupodiarou"/>
          <w:rFonts w:ascii="Times New Roman" w:hAnsi="Times New Roman" w:cs="Times New Roman"/>
          <w:noProof/>
          <w:sz w:val="24"/>
          <w:szCs w:val="24"/>
        </w:rPr>
        <w:footnoteReference w:id="20"/>
      </w:r>
      <w:r>
        <w:rPr>
          <w:rFonts w:ascii="Times New Roman" w:hAnsi="Times New Roman"/>
          <w:noProof/>
          <w:sz w:val="24"/>
          <w:szCs w:val="24"/>
        </w:rPr>
        <w:t xml:space="preserve"> sa uznala potreba preskúmať mobilitu pracovníkov v doprave a prevádzku dopravy z európskeho a medzinárodného hľadiska. V záveroch sa uvádza, že </w:t>
      </w:r>
      <w:r>
        <w:rPr>
          <w:rFonts w:ascii="Times New Roman" w:hAnsi="Times New Roman"/>
          <w:i/>
          <w:noProof/>
          <w:sz w:val="24"/>
          <w:szCs w:val="24"/>
        </w:rPr>
        <w:t>v čase krízy by sa malo zabrániť zatváraniu hraníc v rámci Európskej únie a tok tovaru, a to aj cez miesta vstupu do Európskej únie, by mal zostať plynulý. Rada vyzvala Komisiu, aby vypracovala pohotovostný plán pre prípad pandémie a inej závažnej krízy pre odvetvie európskej nákladnej dopravy vrátane vytvorenia súdržného regulačného rámca, pokiaľ ide o výnimky, ktoré sa majú uplatňovať v prípade vzniku pandémie a iných závažných krízových situácií, ako aj opatrení na zabezpečenie koordinácie na úrovni EÚ a jasných usmernení prijatých na základe posúdenia opatrení prijatých na riešenie krízy spôsobenej ochorením COVID-19</w:t>
      </w:r>
      <w:r>
        <w:rPr>
          <w:rFonts w:ascii="Times New Roman" w:hAnsi="Times New Roman"/>
          <w:noProof/>
          <w:sz w:val="24"/>
          <w:szCs w:val="24"/>
        </w:rPr>
        <w:t>.</w:t>
      </w:r>
    </w:p>
    <w:p w14:paraId="14D716ED" w14:textId="77777777" w:rsidR="001F2C45" w:rsidRDefault="00303A9E">
      <w:pPr>
        <w:pStyle w:val="Odsekzoznamu"/>
        <w:numPr>
          <w:ilvl w:val="0"/>
          <w:numId w:val="2"/>
        </w:numPr>
        <w:spacing w:after="240" w:line="240" w:lineRule="auto"/>
        <w:ind w:left="714" w:hanging="357"/>
        <w:contextualSpacing w:val="0"/>
        <w:jc w:val="both"/>
        <w:rPr>
          <w:noProof/>
        </w:rPr>
      </w:pPr>
      <w:r>
        <w:rPr>
          <w:rFonts w:ascii="Times New Roman" w:hAnsi="Times New Roman"/>
          <w:noProof/>
          <w:sz w:val="24"/>
          <w:szCs w:val="24"/>
        </w:rPr>
        <w:t>V tomto oznámení sa referenčne stanovujú urgentné prvky pohotovostného plánu. Komisia je odhodlaná dôkladne posúdiť pohotovostný plán pre pandémiu s pružnými, rýchlo vykonateľnými, účinnými a efektívnymi opatreniami, a viesť rozsiahle konzultácie pri jeho príprave. Plán by sa mal vzťahovať na nákladnú aj osobnú dopravu. Komisia má v úmysle predložiť tento plán spolu s legislatívnymi návrhmi uvedenými v tomto oznámení v roku 2021 a teší sa na hladkú spoluprácu s Európskym parlamentom a Radou.</w:t>
      </w:r>
      <w:r>
        <w:rPr>
          <w:noProof/>
          <w:sz w:val="24"/>
          <w:szCs w:val="24"/>
        </w:rPr>
        <w:t xml:space="preserve"> </w:t>
      </w:r>
    </w:p>
    <w:p w14:paraId="1A974B15" w14:textId="77777777" w:rsidR="001F2C45" w:rsidRDefault="00303A9E">
      <w:pPr>
        <w:pBdr>
          <w:top w:val="single" w:sz="4" w:space="1" w:color="auto"/>
          <w:left w:val="single" w:sz="4" w:space="4" w:color="auto"/>
          <w:bottom w:val="single" w:sz="4" w:space="1" w:color="auto"/>
          <w:right w:val="single" w:sz="4" w:space="4" w:color="auto"/>
        </w:pBdr>
        <w:spacing w:before="120" w:after="120" w:line="240" w:lineRule="auto"/>
        <w:ind w:left="360"/>
        <w:rPr>
          <w:rFonts w:ascii="Times New Roman" w:hAnsi="Times New Roman" w:cs="Times New Roman"/>
          <w:b/>
          <w:noProof/>
          <w:sz w:val="24"/>
          <w:szCs w:val="24"/>
        </w:rPr>
      </w:pPr>
      <w:r>
        <w:rPr>
          <w:rFonts w:ascii="Times New Roman" w:hAnsi="Times New Roman"/>
          <w:b/>
          <w:noProof/>
        </w:rPr>
        <w:t>Akčný plán pandemickej pohotovosti v doprave</w:t>
      </w:r>
    </w:p>
    <w:p w14:paraId="392814F5"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revízia režimu súhrnného nariadenia,</w:t>
      </w:r>
    </w:p>
    <w:p w14:paraId="51B8DAE9"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systematická kontrola právnych predpisov EÚ s cieľom zahrnúť podľa potreby ustanovenia pre krízové situácie,</w:t>
      </w:r>
    </w:p>
    <w:p w14:paraId="3BB309AA"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 xml:space="preserve">usmernenie pre členské štáty na zabezpečenie minimálnej úrovne koordinácie výnimiek z pravidiel cestnej dopravy týkajúcich sa časov jazdy a odpočinku, </w:t>
      </w:r>
    </w:p>
    <w:p w14:paraId="5E86A39C"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návrh kritérií pre minimálne základné služby v osobnej doprave,</w:t>
      </w:r>
    </w:p>
    <w:p w14:paraId="6E3F843E"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priebežné monitorovanie dodržiavania grafikonov a dochvíľnosti nákladných vlakov na hraničných staniciach vrátane časov zotrvania v stanici,</w:t>
      </w:r>
    </w:p>
    <w:p w14:paraId="15C11FEF"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eastAsia="Times New Roman" w:hAnsi="Times New Roman" w:cs="Times New Roman"/>
          <w:noProof/>
          <w:sz w:val="24"/>
          <w:szCs w:val="24"/>
        </w:rPr>
      </w:pPr>
      <w:r>
        <w:rPr>
          <w:rFonts w:ascii="Times New Roman" w:hAnsi="Times New Roman"/>
          <w:noProof/>
          <w:sz w:val="24"/>
          <w:szCs w:val="24"/>
        </w:rPr>
        <w:t xml:space="preserve">revízia pravidiel EÚ na prideľovanie prevádzkových intervalov na letiskách Spoločenstva, </w:t>
      </w:r>
    </w:p>
    <w:p w14:paraId="2CF2CC66" w14:textId="77777777" w:rsidR="001F2C45" w:rsidRDefault="00303A9E">
      <w:pPr>
        <w:pStyle w:val="Odsekzoznamu"/>
        <w:numPr>
          <w:ilvl w:val="0"/>
          <w:numId w:val="12"/>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noProof/>
          <w:sz w:val="24"/>
          <w:szCs w:val="24"/>
        </w:rPr>
      </w:pPr>
      <w:r>
        <w:rPr>
          <w:rFonts w:ascii="Times New Roman" w:hAnsi="Times New Roman"/>
          <w:noProof/>
          <w:sz w:val="24"/>
          <w:szCs w:val="24"/>
        </w:rPr>
        <w:t>predĺženie platnosti výnimočných opatrení na prevádzku leteckých dopravných služieb v súvislosti s pandémiou COVID-19 delegovaným aktom, ak je to odôvodnené na základe príslušných kritérií.</w:t>
      </w:r>
    </w:p>
    <w:p w14:paraId="79981DD9" w14:textId="77777777" w:rsidR="001F2C45" w:rsidRDefault="001F2C45">
      <w:pPr>
        <w:pStyle w:val="Odsekzoznamu"/>
        <w:spacing w:before="120" w:after="120" w:line="240" w:lineRule="auto"/>
        <w:rPr>
          <w:rFonts w:ascii="Times New Roman" w:hAnsi="Times New Roman" w:cs="Times New Roman"/>
          <w:noProof/>
          <w:sz w:val="24"/>
          <w:szCs w:val="24"/>
        </w:rPr>
      </w:pPr>
    </w:p>
    <w:p w14:paraId="5BBE01E5" w14:textId="77777777" w:rsidR="001F2C45" w:rsidRDefault="00303A9E">
      <w:pPr>
        <w:pStyle w:val="Odsekzoznamu"/>
        <w:numPr>
          <w:ilvl w:val="0"/>
          <w:numId w:val="3"/>
        </w:numPr>
        <w:spacing w:after="120" w:line="240" w:lineRule="auto"/>
        <w:ind w:left="567" w:hanging="567"/>
        <w:contextualSpacing w:val="0"/>
        <w:rPr>
          <w:rFonts w:ascii="Times New Roman" w:hAnsi="Times New Roman" w:cs="Times New Roman"/>
          <w:b/>
          <w:noProof/>
          <w:sz w:val="24"/>
          <w:szCs w:val="24"/>
        </w:rPr>
      </w:pPr>
      <w:r>
        <w:rPr>
          <w:rFonts w:ascii="Times New Roman" w:hAnsi="Times New Roman"/>
          <w:b/>
          <w:noProof/>
          <w:sz w:val="24"/>
          <w:szCs w:val="24"/>
        </w:rPr>
        <w:t>Základná konektivita pre cestujúcich</w:t>
      </w:r>
    </w:p>
    <w:p w14:paraId="235B95F8"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 xml:space="preserve">Hoci prvotným cieľom zelených jazdných pruhov bolo zachovať nepretržitosť tokov nákladnej dopravy a zabezpečiť dostupnosť základných služieb, rovnako dôležité je zabezpečiť základnú konektivitu pre cestujúcich v rámci členských štátov, medzi nimi, </w:t>
      </w:r>
      <w:r>
        <w:rPr>
          <w:rFonts w:ascii="Times New Roman" w:hAnsi="Times New Roman"/>
          <w:noProof/>
          <w:sz w:val="24"/>
          <w:szCs w:val="24"/>
        </w:rPr>
        <w:lastRenderedPageBreak/>
        <w:t>ale aj s tretími krajinami. Všetci tí, ktorí z pracovných a rodinných</w:t>
      </w:r>
      <w:r>
        <w:rPr>
          <w:rStyle w:val="Odkaznapoznmkupodiarou"/>
          <w:rFonts w:ascii="Times New Roman" w:hAnsi="Times New Roman" w:cs="Times New Roman"/>
          <w:noProof/>
          <w:sz w:val="24"/>
          <w:szCs w:val="24"/>
          <w:lang w:val="en-IE"/>
        </w:rPr>
        <w:footnoteReference w:id="21"/>
      </w:r>
      <w:r>
        <w:rPr>
          <w:rFonts w:ascii="Times New Roman" w:hAnsi="Times New Roman"/>
          <w:noProof/>
          <w:sz w:val="24"/>
          <w:szCs w:val="24"/>
        </w:rPr>
        <w:t xml:space="preserve"> dôvodov potrebujú cestovať, by v zásade mali mať túto možnosť. Platí to pre osoby, ktoré nemôžu pracovať z domu, chodia do školy, zdravotníckych a ošetrovateľských pracovníkov, cezhraničných poskytovateľov služieb, sezónnych pracovníkov atď. </w:t>
      </w:r>
    </w:p>
    <w:p w14:paraId="0B951487" w14:textId="77777777" w:rsidR="001F2C45" w:rsidRDefault="00303A9E">
      <w:pPr>
        <w:pStyle w:val="Odsekzoznamu"/>
        <w:numPr>
          <w:ilvl w:val="0"/>
          <w:numId w:val="2"/>
        </w:numPr>
        <w:spacing w:after="240" w:line="240" w:lineRule="auto"/>
        <w:ind w:left="717"/>
        <w:contextualSpacing w:val="0"/>
        <w:jc w:val="both"/>
        <w:rPr>
          <w:rFonts w:ascii="Times New Roman" w:hAnsi="Times New Roman" w:cs="Times New Roman"/>
          <w:noProof/>
          <w:sz w:val="24"/>
          <w:szCs w:val="24"/>
        </w:rPr>
      </w:pPr>
      <w:r>
        <w:rPr>
          <w:rFonts w:ascii="Times New Roman" w:hAnsi="Times New Roman"/>
          <w:noProof/>
          <w:sz w:val="24"/>
          <w:szCs w:val="24"/>
        </w:rPr>
        <w:t>Členské štáty a miestne orgány by v zásade nemali zakazovať prevádzku dopravných služieb</w:t>
      </w:r>
      <w:r>
        <w:rPr>
          <w:rStyle w:val="Odkaznapoznmkupodiarou"/>
          <w:rFonts w:ascii="Times New Roman" w:hAnsi="Times New Roman" w:cs="Times New Roman"/>
          <w:noProof/>
          <w:sz w:val="24"/>
          <w:szCs w:val="24"/>
          <w:lang w:val="en-IE"/>
        </w:rPr>
        <w:footnoteReference w:id="22"/>
      </w:r>
      <w:r>
        <w:rPr>
          <w:rFonts w:ascii="Times New Roman" w:hAnsi="Times New Roman"/>
          <w:noProof/>
          <w:sz w:val="24"/>
          <w:szCs w:val="24"/>
        </w:rPr>
        <w:t>. Malo by sa zabrániť aj obmedzeniam individuálnej dopravy (napr. osobné autá, motocykle alebo bicykle), keďže pri tej je riziko šírenia vírusu len veľmi obmedzené. V mestách a regiónoch treba zachovať primerané poskytovanie hromadnej dopravy a obmedzenia nie sú opodstatnené, ak sú zavedené primerané zdravotné a sanitárne opatrenia. A napokon, keďže sú zavedené vhodné opatrenia na obmedzenie šírenia choroby, nie sú v súčasnosti na riešenie pretrvávajúcej pandémie COVID-19 potrebné ani letové obmedzenia.</w:t>
      </w:r>
    </w:p>
    <w:p w14:paraId="714132D1" w14:textId="77777777" w:rsidR="001F2C45" w:rsidRDefault="00303A9E">
      <w:pPr>
        <w:pStyle w:val="Odsekzoznamu"/>
        <w:numPr>
          <w:ilvl w:val="0"/>
          <w:numId w:val="2"/>
        </w:numPr>
        <w:spacing w:after="240" w:line="240" w:lineRule="auto"/>
        <w:ind w:left="717"/>
        <w:contextualSpacing w:val="0"/>
        <w:jc w:val="both"/>
        <w:rPr>
          <w:noProof/>
        </w:rPr>
      </w:pPr>
      <w:r>
        <w:rPr>
          <w:rFonts w:ascii="Times New Roman" w:hAnsi="Times New Roman"/>
          <w:noProof/>
          <w:sz w:val="24"/>
          <w:szCs w:val="24"/>
        </w:rPr>
        <w:t>Lietadlá, autobusy a autokary, osobné autá, vlaky a trajekty musia v celej EÚ naďalej zabezpečovať minimálne základné služby, v prípade potreby s pomocou verejnej finančnej podpory v súlade s právom Únie. V súčasnej situácii zohrávajú kľúčovú úlohu, pretože umožňujú základnú mobilitu – aj preto, aby sa kritický personál mohol ujať svojich povinností. Doprava sa môže a mala by sa prevádzkovať bezpečne, ako sa stanovuje v Usmerneniach Komisie k postupnému obnovovaniu dopravných služieb a prepojenosti – COVID-19</w:t>
      </w:r>
      <w:r>
        <w:rPr>
          <w:rStyle w:val="Odkaznapoznmkupodiarou"/>
          <w:rFonts w:ascii="Times New Roman" w:hAnsi="Times New Roman" w:cs="Times New Roman"/>
          <w:noProof/>
          <w:sz w:val="24"/>
          <w:szCs w:val="24"/>
          <w:lang w:val="en-IE"/>
        </w:rPr>
        <w:footnoteReference w:id="23"/>
      </w:r>
      <w:r>
        <w:rPr>
          <w:rFonts w:ascii="Times New Roman" w:hAnsi="Times New Roman"/>
          <w:noProof/>
          <w:sz w:val="24"/>
          <w:szCs w:val="24"/>
        </w:rPr>
        <w:t>. Tranzitné koridory by mali zostať pre pozemnú dopravu prejazdné. V súčasnosti sú zavedené bezpečnostné protokoly COVID pre leteckú, námornú, vnútrozemskú vodnú i železničnú dopravu. Kľúčovú rolu pravdepodobne zohrajú aj digitálne lokalizačné karty verejného zdravia cestujúcich a aplikácie na sledovanie kontaktov.</w:t>
      </w:r>
    </w:p>
    <w:sectPr w:rsidR="001F2C4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1DEF" w14:textId="77777777" w:rsidR="00EE6BD5" w:rsidRDefault="00EE6BD5">
      <w:pPr>
        <w:spacing w:after="0" w:line="240" w:lineRule="auto"/>
      </w:pPr>
      <w:r>
        <w:separator/>
      </w:r>
    </w:p>
  </w:endnote>
  <w:endnote w:type="continuationSeparator" w:id="0">
    <w:p w14:paraId="15695E85" w14:textId="77777777" w:rsidR="00EE6BD5" w:rsidRDefault="00EE6BD5">
      <w:pPr>
        <w:spacing w:after="0" w:line="240" w:lineRule="auto"/>
      </w:pPr>
      <w:r>
        <w:continuationSeparator/>
      </w:r>
    </w:p>
  </w:endnote>
  <w:endnote w:type="continuationNotice" w:id="1">
    <w:p w14:paraId="09F86954" w14:textId="77777777" w:rsidR="00EE6BD5" w:rsidRDefault="00EE6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charset w:val="00"/>
    <w:family w:val="auto"/>
    <w:pitch w:val="variable"/>
    <w:sig w:usb0="00000000"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F5D8" w14:textId="77777777" w:rsidR="001F2C45" w:rsidRDefault="001F2C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2AAD" w14:textId="77777777" w:rsidR="001F2C45" w:rsidRDefault="00303A9E">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proofErr w:type="spellStart"/>
    <w:r>
      <w:rPr>
        <w:rFonts w:ascii="Arial" w:hAnsi="Arial" w:cs="Arial"/>
        <w:b/>
        <w:sz w:val="48"/>
      </w:rPr>
      <w:t>SK</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7A77" w14:textId="77777777" w:rsidR="001F2C45" w:rsidRDefault="001F2C45">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394B" w14:textId="77777777" w:rsidR="001F2C45" w:rsidRDefault="001F2C45">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340014"/>
      <w:docPartObj>
        <w:docPartGallery w:val="Page Numbers (Bottom of Page)"/>
        <w:docPartUnique/>
      </w:docPartObj>
    </w:sdtPr>
    <w:sdtEndPr>
      <w:rPr>
        <w:rFonts w:ascii="Times New Roman" w:hAnsi="Times New Roman" w:cs="Times New Roman"/>
        <w:noProof/>
      </w:rPr>
    </w:sdtEndPr>
    <w:sdtContent>
      <w:p w14:paraId="35929C63" w14:textId="77777777" w:rsidR="001F2C45" w:rsidRDefault="00303A9E">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71C21">
          <w:rPr>
            <w:rFonts w:ascii="Times New Roman" w:hAnsi="Times New Roman" w:cs="Times New Roman"/>
            <w:noProof/>
          </w:rPr>
          <w:t>1</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E0AB" w14:textId="77777777" w:rsidR="001F2C45" w:rsidRDefault="001F2C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1CAC" w14:textId="77777777" w:rsidR="00EE6BD5" w:rsidRDefault="00EE6BD5">
      <w:pPr>
        <w:spacing w:after="0" w:line="240" w:lineRule="auto"/>
      </w:pPr>
      <w:r>
        <w:separator/>
      </w:r>
    </w:p>
  </w:footnote>
  <w:footnote w:type="continuationSeparator" w:id="0">
    <w:p w14:paraId="5197F411" w14:textId="77777777" w:rsidR="00EE6BD5" w:rsidRDefault="00EE6BD5">
      <w:pPr>
        <w:spacing w:after="0" w:line="240" w:lineRule="auto"/>
      </w:pPr>
      <w:r>
        <w:continuationSeparator/>
      </w:r>
    </w:p>
  </w:footnote>
  <w:footnote w:type="continuationNotice" w:id="1">
    <w:p w14:paraId="06E82E59" w14:textId="77777777" w:rsidR="00EE6BD5" w:rsidRDefault="00EE6BD5">
      <w:pPr>
        <w:spacing w:after="0" w:line="240" w:lineRule="auto"/>
      </w:pPr>
    </w:p>
  </w:footnote>
  <w:footnote w:id="2">
    <w:p w14:paraId="12986A27"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C(2020) 1897 </w:t>
      </w:r>
      <w:proofErr w:type="spellStart"/>
      <w:r>
        <w:rPr>
          <w:rFonts w:ascii="Times New Roman" w:hAnsi="Times New Roman"/>
        </w:rPr>
        <w:t>final</w:t>
      </w:r>
      <w:proofErr w:type="spellEnd"/>
      <w:r>
        <w:t>.</w:t>
      </w:r>
    </w:p>
    <w:p w14:paraId="7C2D1CC7" w14:textId="77777777" w:rsidR="001F2C45" w:rsidRDefault="00EE6BD5">
      <w:pPr>
        <w:pStyle w:val="Textpoznmkypodiarou"/>
        <w:rPr>
          <w:rFonts w:ascii="Times New Roman" w:hAnsi="Times New Roman" w:cs="Times New Roman"/>
        </w:rPr>
      </w:pPr>
      <w:hyperlink r:id="rId1" w:history="1">
        <w:r w:rsidR="00303A9E">
          <w:rPr>
            <w:rStyle w:val="Hypertextovprepojenie"/>
            <w:rFonts w:ascii="Times New Roman" w:hAnsi="Times New Roman"/>
          </w:rPr>
          <w:t>https://ec.europa.eu/transport/sites/transport/files/legislation/2020-03-23-communication-green-lanes_en.pdf</w:t>
        </w:r>
      </w:hyperlink>
      <w:r w:rsidR="00303A9E">
        <w:t>.</w:t>
      </w:r>
      <w:r w:rsidR="00303A9E">
        <w:rPr>
          <w:rFonts w:ascii="Times New Roman" w:hAnsi="Times New Roman"/>
        </w:rPr>
        <w:t xml:space="preserve"> </w:t>
      </w:r>
    </w:p>
  </w:footnote>
  <w:footnote w:id="3">
    <w:p w14:paraId="69B5EA7D"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C(2020) 1753 </w:t>
      </w:r>
      <w:proofErr w:type="spellStart"/>
      <w:r>
        <w:rPr>
          <w:rFonts w:ascii="Times New Roman" w:hAnsi="Times New Roman"/>
        </w:rPr>
        <w:t>final</w:t>
      </w:r>
      <w:proofErr w:type="spellEnd"/>
      <w:r>
        <w:t>.</w:t>
      </w:r>
    </w:p>
    <w:p w14:paraId="02F1A258" w14:textId="77777777" w:rsidR="001F2C45" w:rsidRDefault="00303A9E">
      <w:pPr>
        <w:pStyle w:val="Textpoznmkypodiarou"/>
        <w:jc w:val="both"/>
        <w:rPr>
          <w:rFonts w:ascii="Times New Roman" w:hAnsi="Times New Roman" w:cs="Times New Roman"/>
        </w:rPr>
      </w:pPr>
      <w:r>
        <w:rPr>
          <w:rFonts w:ascii="Times New Roman" w:hAnsi="Times New Roman"/>
        </w:rPr>
        <w:t>https://ec.europa.eu/home-affairs/sites/homeaffairs/files/what-we-do/policies/european-agenda-migration/20200316_covid-19-guidelines-for-border-management.pdf.</w:t>
      </w:r>
    </w:p>
  </w:footnote>
  <w:footnote w:id="4">
    <w:p w14:paraId="0AEDB0C9"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Zatvorenie hraníc môže spomaliť zavlečenie vírusu do krajiny, iba ak je takmer hermetické a zavedie sa rýchlo v počiatočných štádiách pred zistením prvého domáceho prípadu, čo je možné iba v špecifických izolovaných prípadoch (napr. ostrovné štáty) </w:t>
      </w:r>
      <w:hyperlink r:id="rId2" w:history="1">
        <w:r>
          <w:rPr>
            <w:rStyle w:val="Hypertextovprepojenie"/>
            <w:rFonts w:ascii="Times New Roman" w:hAnsi="Times New Roman"/>
          </w:rPr>
          <w:t>https://www.ecdc.europa.eu/sites/default/files/documents/covid-19-guidelines-non-pharmaceutical-interventions-september-2020.pdf</w:t>
        </w:r>
      </w:hyperlink>
      <w:r>
        <w:t>.</w:t>
      </w:r>
      <w:r>
        <w:rPr>
          <w:rFonts w:ascii="Times New Roman" w:hAnsi="Times New Roman"/>
        </w:rPr>
        <w:t xml:space="preserve"> </w:t>
      </w:r>
    </w:p>
  </w:footnote>
  <w:footnote w:id="5">
    <w:p w14:paraId="5BA3C5F1"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hyperlink r:id="rId3" w:history="1">
        <w:r>
          <w:rPr>
            <w:rStyle w:val="Hypertextovprepojenie"/>
            <w:rFonts w:ascii="Times New Roman" w:hAnsi="Times New Roman"/>
          </w:rPr>
          <w:t>https://www.ecdc.europa.eu/en/publications-data/covid-19-guidelines-non-pharmaceutical-interventions</w:t>
        </w:r>
      </w:hyperlink>
      <w:r>
        <w:t>.</w:t>
      </w:r>
      <w:r>
        <w:rPr>
          <w:rFonts w:ascii="Times New Roman" w:hAnsi="Times New Roman"/>
        </w:rPr>
        <w:t xml:space="preserve"> </w:t>
      </w:r>
    </w:p>
  </w:footnote>
  <w:footnote w:id="6">
    <w:p w14:paraId="34EDA4DB"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Vrátane pomoci z rezervy </w:t>
      </w:r>
      <w:proofErr w:type="spellStart"/>
      <w:r>
        <w:rPr>
          <w:rFonts w:ascii="Times New Roman" w:hAnsi="Times New Roman"/>
        </w:rPr>
        <w:t>rescEU</w:t>
      </w:r>
      <w:proofErr w:type="spellEnd"/>
      <w:r>
        <w:rPr>
          <w:rFonts w:ascii="Times New Roman" w:hAnsi="Times New Roman"/>
        </w:rPr>
        <w:t xml:space="preserve"> poskytnutej v rámci mechanizmu Únie v oblasti civilnej ochrany zúčastneným štátom (Nórsko, Island, Turecko, Srbsko, Čierna Hora a Severné Macedónsko).</w:t>
      </w:r>
    </w:p>
  </w:footnote>
  <w:footnote w:id="7">
    <w:p w14:paraId="1BDA28D9" w14:textId="77777777" w:rsidR="001F2C45" w:rsidRDefault="00303A9E">
      <w:pPr>
        <w:pStyle w:val="Textpoznmkypodiarou"/>
        <w:ind w:left="284" w:hanging="284"/>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Odporúčanie Rady (EÚ) 2020/1475 z 13. októbra 2020 o koordinovanom prístupe k obmedzeniu voľného pohybu v reakcii na pandémiu COVID-19, Ú. v. EÚ L 337, 14.10.2020, s. 3.</w:t>
      </w:r>
    </w:p>
  </w:footnote>
  <w:footnote w:id="8">
    <w:p w14:paraId="1B5DC4A8"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Príkladom takýchto problémov na jar bol rušňovodič prekračujúci hranicu taxíkom, aby si mohol vyzdvihnúť rušeň, alebo vodič kamiónu, ktorý sa vracal domov v spoločnej dodávke s inými.</w:t>
      </w:r>
    </w:p>
  </w:footnote>
  <w:footnote w:id="9">
    <w:p w14:paraId="774E20DE"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Príloha 40 k Praktickej príručke EÚ pre príslušníkov pohraničnej stráže</w:t>
      </w:r>
      <w:r>
        <w:t>.</w:t>
      </w:r>
    </w:p>
    <w:p w14:paraId="0B4FDB90" w14:textId="77777777" w:rsidR="001F2C45" w:rsidRDefault="00EE6BD5">
      <w:pPr>
        <w:pStyle w:val="Textpoznmkypodiarou"/>
        <w:rPr>
          <w:rFonts w:ascii="Times New Roman" w:hAnsi="Times New Roman" w:cs="Times New Roman"/>
        </w:rPr>
      </w:pPr>
      <w:hyperlink r:id="rId4" w:history="1">
        <w:r w:rsidR="00303A9E">
          <w:rPr>
            <w:rStyle w:val="Hypertextovprepojenie"/>
            <w:rFonts w:ascii="Times New Roman" w:hAnsi="Times New Roman"/>
          </w:rPr>
          <w:t>https://ec.europa.eu/transport/sites/transport/files/certificate-for-international-transport-worker.zip</w:t>
        </w:r>
      </w:hyperlink>
      <w:r w:rsidR="00303A9E">
        <w:t>.</w:t>
      </w:r>
      <w:r w:rsidR="00303A9E">
        <w:rPr>
          <w:rFonts w:ascii="Times New Roman" w:hAnsi="Times New Roman"/>
        </w:rPr>
        <w:t xml:space="preserve"> </w:t>
      </w:r>
    </w:p>
  </w:footnote>
  <w:footnote w:id="10">
    <w:p w14:paraId="11A6E0FB"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Oznámenie Komisie: Usmernenia o ochrane zdravia, repatriácii a cestovných službách pre námorníkov a ďalšie osoby na palube lodí,</w:t>
      </w:r>
    </w:p>
    <w:p w14:paraId="4A11C377" w14:textId="77777777" w:rsidR="001F2C45" w:rsidRDefault="00303A9E">
      <w:pPr>
        <w:pStyle w:val="Textpoznmkypodiarou"/>
        <w:jc w:val="both"/>
        <w:rPr>
          <w:rFonts w:ascii="Times New Roman" w:hAnsi="Times New Roman" w:cs="Times New Roman"/>
        </w:rPr>
      </w:pPr>
      <w:r>
        <w:rPr>
          <w:rFonts w:ascii="Times New Roman" w:hAnsi="Times New Roman"/>
        </w:rPr>
        <w:t>C(2020) 3100, Ú. v. EÚ C 119, 14.4.2020, s. 1 – 8.</w:t>
      </w:r>
    </w:p>
  </w:footnote>
  <w:footnote w:id="11">
    <w:p w14:paraId="2684949C"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Pozri zákaznícku informačnú platformu organizácie RNE: </w:t>
      </w:r>
      <w:hyperlink r:id="rId5" w:history="1">
        <w:r>
          <w:rPr>
            <w:rStyle w:val="Hypertextovprepojenie"/>
            <w:rFonts w:ascii="Times New Roman" w:hAnsi="Times New Roman"/>
            <w:color w:val="auto"/>
          </w:rPr>
          <w:t>https://cip.rne.eu/</w:t>
        </w:r>
      </w:hyperlink>
      <w:r>
        <w:t>.</w:t>
      </w:r>
    </w:p>
  </w:footnote>
  <w:footnote w:id="12">
    <w:p w14:paraId="4745D91F"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V dôsledku incidentu pri nemeckom meste </w:t>
      </w:r>
      <w:proofErr w:type="spellStart"/>
      <w:r>
        <w:rPr>
          <w:rFonts w:ascii="Times New Roman" w:hAnsi="Times New Roman"/>
        </w:rPr>
        <w:t>Rastatt</w:t>
      </w:r>
      <w:proofErr w:type="spellEnd"/>
      <w:r>
        <w:rPr>
          <w:rFonts w:ascii="Times New Roman" w:hAnsi="Times New Roman"/>
        </w:rPr>
        <w:t xml:space="preserve"> 12. augusta 2017 bol pre všetku dopravu takmer na dva mesiace uzavretý inak vysoko vyťažený železničný úsek, ktorý je súčasťou nákladného železničného koridoru Rýn – Alpy. Keďže alternatívne trasy mali obmedzenú kapacitu aj </w:t>
      </w:r>
      <w:proofErr w:type="spellStart"/>
      <w:r>
        <w:rPr>
          <w:rFonts w:ascii="Times New Roman" w:hAnsi="Times New Roman"/>
        </w:rPr>
        <w:t>interoperabilitu</w:t>
      </w:r>
      <w:proofErr w:type="spellEnd"/>
      <w:r>
        <w:rPr>
          <w:rFonts w:ascii="Times New Roman" w:hAnsi="Times New Roman"/>
        </w:rPr>
        <w:t>, incident viedol k značným finančným stratám a poškodil železničnú nákladnú dopravu. Komisia so zapojením kľúčových zainteresovaných strán našla európske riešenia v podobe opatrení na účinnejšie zmierňovanie takýchto incidentov v budúcnosti. Výsledkom bola príručka pre medzinárodné riadenie nepredvídaných udalostí opisujúca normy, ktoré v prípade medzinárodného narušenia umožňujú pokračovanie železničnej dopravy na najvyššej možnej úrovni a zaisťujú lepšie informácie o stave narušenia, prijatých opatreniach, alternatívach a vplyvoch na dopravné toky.</w:t>
      </w:r>
    </w:p>
    <w:p w14:paraId="5DA759CB" w14:textId="77777777" w:rsidR="001F2C45" w:rsidRDefault="00EE6BD5">
      <w:pPr>
        <w:pStyle w:val="Textpoznmkypodiarou"/>
        <w:jc w:val="both"/>
        <w:rPr>
          <w:rFonts w:ascii="Times New Roman" w:hAnsi="Times New Roman" w:cs="Times New Roman"/>
        </w:rPr>
      </w:pPr>
      <w:hyperlink r:id="rId6" w:history="1">
        <w:r w:rsidR="00303A9E">
          <w:rPr>
            <w:rStyle w:val="Hypertextovprepojenie"/>
            <w:rFonts w:ascii="Times New Roman" w:hAnsi="Times New Roman"/>
          </w:rPr>
          <w:t>https://webgate.ec.europa.eu/multisite/primeinfrastructure/sites/primeinfrastructure/files/annex_to_point_9a_contingency_handbook_0.pdf</w:t>
        </w:r>
      </w:hyperlink>
      <w:r w:rsidR="00303A9E">
        <w:t>.</w:t>
      </w:r>
      <w:r w:rsidR="00303A9E">
        <w:rPr>
          <w:rFonts w:ascii="Times New Roman" w:hAnsi="Times New Roman"/>
        </w:rPr>
        <w:t xml:space="preserve"> </w:t>
      </w:r>
    </w:p>
  </w:footnote>
  <w:footnote w:id="13">
    <w:p w14:paraId="782CB149"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Pozri článok 37 smernice 2012/34/EÚ.</w:t>
      </w:r>
    </w:p>
  </w:footnote>
  <w:footnote w:id="14">
    <w:p w14:paraId="659A36FA"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Pozri bod 8 </w:t>
      </w:r>
      <w:proofErr w:type="spellStart"/>
      <w:r>
        <w:rPr>
          <w:rFonts w:ascii="Times New Roman" w:hAnsi="Times New Roman"/>
        </w:rPr>
        <w:t>podbod</w:t>
      </w:r>
      <w:proofErr w:type="spellEnd"/>
      <w:r>
        <w:rPr>
          <w:rFonts w:ascii="Times New Roman" w:hAnsi="Times New Roman"/>
        </w:rPr>
        <w:t xml:space="preserve"> 3 prílohy VI k smernici 2007/59/ES.</w:t>
      </w:r>
    </w:p>
  </w:footnote>
  <w:footnote w:id="15">
    <w:p w14:paraId="683BFF97"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Nariadenie Európskeho parlamentu a Rady (EÚ) 2020/698 z 25. mája 2020, ktorým sa stanovujú osobitné a dočasné opatrenia vzhľadom na výskyt ochorenia COVID-19 týkajúce sa obnovenia alebo predĺženia platnosti niektorých osvedčení, licencií, preukazov a povolení a odloženia niektorých pravidelných kontrol a pravidelného výcviku v určitých oblastiach právnych predpisov v oblasti dopravy,</w:t>
      </w:r>
    </w:p>
    <w:p w14:paraId="60C93DD6" w14:textId="77777777" w:rsidR="001F2C45" w:rsidRDefault="00303A9E">
      <w:pPr>
        <w:pStyle w:val="Textpoznmkypodiarou"/>
        <w:jc w:val="both"/>
        <w:rPr>
          <w:rFonts w:ascii="Times New Roman" w:hAnsi="Times New Roman" w:cs="Times New Roman"/>
        </w:rPr>
      </w:pPr>
      <w:r>
        <w:rPr>
          <w:rFonts w:ascii="Times New Roman" w:hAnsi="Times New Roman"/>
        </w:rPr>
        <w:t>Ú. v. EÚ L 165, 27.5.2020, s. 10 – 24.</w:t>
      </w:r>
    </w:p>
  </w:footnote>
  <w:footnote w:id="16">
    <w:p w14:paraId="23562FDB"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 xml:space="preserve">Schválil a uverejnil </w:t>
      </w:r>
      <w:proofErr w:type="spellStart"/>
      <w:r>
        <w:rPr>
          <w:rFonts w:ascii="Times New Roman" w:hAnsi="Times New Roman"/>
        </w:rPr>
        <w:t>PSCircular</w:t>
      </w:r>
      <w:proofErr w:type="spellEnd"/>
      <w:r>
        <w:rPr>
          <w:rFonts w:ascii="Times New Roman" w:hAnsi="Times New Roman"/>
        </w:rPr>
        <w:t xml:space="preserve"> 97 Rev.4 15. septembra 2020</w:t>
      </w:r>
      <w:r>
        <w:t>.</w:t>
      </w:r>
    </w:p>
  </w:footnote>
  <w:footnote w:id="17">
    <w:p w14:paraId="3C76BABA"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Nariadenie Európskeho parlamentu a Rady (EÚ) 2020/459 z 30. marca 2020, ktorým sa mení nariadenie Rady (EHS) č. 95/53 o spoločných pravidlách prideľovania prevádzkových intervalov na letiskách Spoločenstva, Ú. v. EÚ L 99, 31.3.2020, s. 1 – 4, a nariadenie Európskeho parlamentu a Rady (EÚ) 2020/696 z 25. mája 2020 o spoločných pravidlách prevádzky leteckých dopravných služieb v Spoločenstve vzhľadom na pandémiu COVID-19, Ú. v. EÚ L 165, 27.5.2020, s. 1 – 6.</w:t>
      </w:r>
    </w:p>
  </w:footnote>
  <w:footnote w:id="18">
    <w:p w14:paraId="31E64711"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Nariadenie Európskeho parlamentu a Rady (ES) č. 1008/2008 z 24. septembra 2008 o spoločných pravidlách prevádzky leteckých dopravných služieb v Spoločenstve (prepracované znenie), Ú. v. EÚ L 293, 31.10.2008, s. 3 – 20.</w:t>
      </w:r>
    </w:p>
  </w:footnote>
  <w:footnote w:id="19">
    <w:p w14:paraId="6A411451" w14:textId="77777777" w:rsidR="001F2C45" w:rsidRDefault="00303A9E">
      <w:pPr>
        <w:pStyle w:val="Textpoznmkypodiarou"/>
        <w:jc w:val="both"/>
        <w:rPr>
          <w:rFonts w:ascii="Times New Roman" w:hAnsi="Times New Roman" w:cs="Times New Roman"/>
        </w:rPr>
      </w:pPr>
      <w:r>
        <w:rPr>
          <w:rStyle w:val="Odkaznapoznmkupodiarou"/>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rPr>
        <w:t>Smernica Rady 96/67/ES z 15. októbra 1996 o prístupe k trhu služieb pozemnej obsluhy na letiskách Spoločenstva, Ú. v. ES L 272, 25.10.1996, s. 36 – 45.</w:t>
      </w:r>
    </w:p>
  </w:footnote>
  <w:footnote w:id="20">
    <w:p w14:paraId="5DB549A8"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Závery Rady – politické hľadiská týkajúce sa pohotovostného plánu pre prípad pandémie a inej závažnej krízy pre odvetvie európskej nákladnej dopravy.</w:t>
      </w:r>
    </w:p>
    <w:p w14:paraId="0ED790E5" w14:textId="77777777" w:rsidR="001F2C45" w:rsidRDefault="00EE6BD5">
      <w:pPr>
        <w:pStyle w:val="Textpoznmkypodiarou"/>
        <w:rPr>
          <w:rFonts w:ascii="Times New Roman" w:hAnsi="Times New Roman" w:cs="Times New Roman"/>
        </w:rPr>
      </w:pPr>
      <w:hyperlink r:id="rId7" w:history="1">
        <w:r w:rsidR="00303A9E">
          <w:rPr>
            <w:rStyle w:val="Hypertextovprepojenie"/>
            <w:rFonts w:ascii="Times New Roman" w:hAnsi="Times New Roman"/>
          </w:rPr>
          <w:t>https://data.consilium.europa.eu/doc/document/ST-12060-2020-INIT/sk/pdf</w:t>
        </w:r>
      </w:hyperlink>
      <w:r w:rsidR="00303A9E">
        <w:t>.</w:t>
      </w:r>
      <w:r w:rsidR="00303A9E">
        <w:rPr>
          <w:rFonts w:ascii="Times New Roman" w:hAnsi="Times New Roman"/>
          <w:highlight w:val="yellow"/>
        </w:rPr>
        <w:t xml:space="preserve"> </w:t>
      </w:r>
    </w:p>
  </w:footnote>
  <w:footnote w:id="21">
    <w:p w14:paraId="7EDE5304"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Vrátane osôb v riadne osvedčenom vzťahu.</w:t>
      </w:r>
    </w:p>
  </w:footnote>
  <w:footnote w:id="22">
    <w:p w14:paraId="3223B8A4"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hyperlink r:id="rId8" w:history="1">
        <w:r>
          <w:rPr>
            <w:rStyle w:val="Hypertextovprepojenie"/>
            <w:rFonts w:ascii="Times New Roman" w:hAnsi="Times New Roman"/>
          </w:rPr>
          <w:t>https://ec.europa.eu/info/sites/info/files/council-proposal-coordinated-approach-restriction-movement_en.pdf</w:t>
        </w:r>
      </w:hyperlink>
      <w:r>
        <w:t>.</w:t>
      </w:r>
    </w:p>
  </w:footnote>
  <w:footnote w:id="23">
    <w:p w14:paraId="1F6F2C8B" w14:textId="77777777" w:rsidR="001F2C45" w:rsidRDefault="00303A9E">
      <w:pPr>
        <w:pStyle w:val="Textpoznmkypodiarou"/>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rPr>
        <w:t xml:space="preserve"> </w:t>
      </w:r>
      <w:r>
        <w:rPr>
          <w:rFonts w:ascii="Times New Roman" w:hAnsi="Times New Roman"/>
        </w:rPr>
        <w:t>2020/C 169/02.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6E6C" w14:textId="77777777" w:rsidR="001F2C45" w:rsidRDefault="001F2C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F365" w14:textId="77777777" w:rsidR="001F2C45" w:rsidRDefault="001F2C45">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E1A1" w14:textId="77777777" w:rsidR="001F2C45" w:rsidRDefault="001F2C45">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0BBF" w14:textId="77777777" w:rsidR="001F2C45" w:rsidRDefault="001F2C45">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529C" w14:textId="77777777" w:rsidR="001F2C45" w:rsidRDefault="001F2C45">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0C20" w14:textId="77777777" w:rsidR="001F2C45" w:rsidRDefault="001F2C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DA0"/>
    <w:multiLevelType w:val="hybridMultilevel"/>
    <w:tmpl w:val="FE02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B550A"/>
    <w:multiLevelType w:val="hybridMultilevel"/>
    <w:tmpl w:val="EBDE6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6191B"/>
    <w:multiLevelType w:val="hybridMultilevel"/>
    <w:tmpl w:val="607E4634"/>
    <w:lvl w:ilvl="0" w:tplc="5C70AC70">
      <w:start w:val="1"/>
      <w:numFmt w:val="decimal"/>
      <w:lvlText w:val="%1."/>
      <w:lvlJc w:val="left"/>
      <w:pPr>
        <w:ind w:left="927"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157DB"/>
    <w:multiLevelType w:val="hybridMultilevel"/>
    <w:tmpl w:val="9B7EA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175D"/>
    <w:multiLevelType w:val="hybridMultilevel"/>
    <w:tmpl w:val="E0F49336"/>
    <w:lvl w:ilvl="0" w:tplc="0660F1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E3376"/>
    <w:multiLevelType w:val="hybridMultilevel"/>
    <w:tmpl w:val="ADD20694"/>
    <w:lvl w:ilvl="0" w:tplc="3F84358E">
      <w:start w:val="1"/>
      <w:numFmt w:val="bullet"/>
      <w:lvlText w:val=""/>
      <w:lvlJc w:val="left"/>
      <w:pPr>
        <w:tabs>
          <w:tab w:val="num" w:pos="369"/>
        </w:tabs>
        <w:ind w:left="369" w:hanging="227"/>
      </w:pPr>
      <w:rPr>
        <w:rFonts w:ascii="Wingdings" w:hAnsi="Wingdings" w:hint="default"/>
        <w:b/>
        <w:i w:val="0"/>
        <w:color w:val="8064A2" w:themeColor="accent4"/>
        <w:sz w:val="24"/>
      </w:rPr>
    </w:lvl>
    <w:lvl w:ilvl="1" w:tplc="040C0003">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A67277F"/>
    <w:multiLevelType w:val="hybridMultilevel"/>
    <w:tmpl w:val="DC34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836B1"/>
    <w:multiLevelType w:val="hybridMultilevel"/>
    <w:tmpl w:val="D3D05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406A4"/>
    <w:multiLevelType w:val="hybridMultilevel"/>
    <w:tmpl w:val="E20805FC"/>
    <w:lvl w:ilvl="0" w:tplc="FF9831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859DE"/>
    <w:multiLevelType w:val="hybridMultilevel"/>
    <w:tmpl w:val="EBA6D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974C9"/>
    <w:multiLevelType w:val="hybridMultilevel"/>
    <w:tmpl w:val="7BA00CBA"/>
    <w:lvl w:ilvl="0" w:tplc="4CE69978">
      <w:start w:val="1"/>
      <w:numFmt w:val="decimal"/>
      <w:lvlText w:val="%1."/>
      <w:lvlJc w:val="left"/>
      <w:pPr>
        <w:ind w:left="927"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253FB"/>
    <w:multiLevelType w:val="hybridMultilevel"/>
    <w:tmpl w:val="A1140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D364A"/>
    <w:multiLevelType w:val="hybridMultilevel"/>
    <w:tmpl w:val="7804A33C"/>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84BE6"/>
    <w:multiLevelType w:val="hybridMultilevel"/>
    <w:tmpl w:val="6DA8546A"/>
    <w:lvl w:ilvl="0" w:tplc="CFE8810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9"/>
  </w:num>
  <w:num w:numId="6">
    <w:abstractNumId w:val="1"/>
  </w:num>
  <w:num w:numId="7">
    <w:abstractNumId w:val="5"/>
  </w:num>
  <w:num w:numId="8">
    <w:abstractNumId w:val="7"/>
  </w:num>
  <w:num w:numId="9">
    <w:abstractNumId w:val="11"/>
  </w:num>
  <w:num w:numId="10">
    <w:abstractNumId w:val="13"/>
  </w:num>
  <w:num w:numId="11">
    <w:abstractNumId w:val="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0FC6792D-6689-43EA-ABF5-47238F5E511C"/>
    <w:docVar w:name="LW_COVERPAGE_TYPE" w:val="1"/>
    <w:docVar w:name="LW_CROSSREFERENCE" w:val="&lt;UNUSED&gt;"/>
    <w:docVar w:name="LW_DocType" w:val="NORMAL"/>
    <w:docVar w:name="LW_EMISSION" w:val="28. 10. 2020"/>
    <w:docVar w:name="LW_EMISSION_ISODATE" w:val="2020-10-28"/>
    <w:docVar w:name="LW_EMISSION_LOCATION" w:val="BRX"/>
    <w:docVar w:name="LW_EMISSION_PREFIX" w:val="V Bruseli"/>
    <w:docVar w:name="LW_EMISSION_SUFFIX" w:val=" "/>
    <w:docVar w:name="LW_ID_DOCTYPE_NONLW" w:val="CP-009"/>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0) 6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silnenie zelených jazdných pruhov s cie\u318?om udr\u382?a\u357? chod ekonomiky po\u269?as druhej vlny pandémie COVID-19"/>
    <w:docVar w:name="LW_TYPE.DOC.CP" w:val="OZNÁMENIE KOMISIE"/>
    <w:docVar w:name="LW_TYPE.DOC.CP.USERTEXT" w:val="EURÓPSKEMU PARLAMENTU, EURÓPSKEJ RADE A RADE"/>
  </w:docVars>
  <w:rsids>
    <w:rsidRoot w:val="001F2C45"/>
    <w:rsid w:val="001726D5"/>
    <w:rsid w:val="001F2C45"/>
    <w:rsid w:val="00303A9E"/>
    <w:rsid w:val="00476C59"/>
    <w:rsid w:val="00A21B10"/>
    <w:rsid w:val="00D71C21"/>
    <w:rsid w:val="00EE6B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arker">
    <w:name w:val="Marker"/>
    <w:basedOn w:val="Predvolenpsmoodseku"/>
    <w:rPr>
      <w:color w:val="0000FF"/>
      <w:shd w:val="clear" w:color="auto" w:fill="auto"/>
    </w:rPr>
  </w:style>
  <w:style w:type="paragraph" w:customStyle="1" w:styleId="Pagedecouverture">
    <w:name w:val="Page de couverture"/>
    <w:basedOn w:val="Normlny"/>
    <w:next w:val="Normlny"/>
    <w:pPr>
      <w:spacing w:after="0" w:line="240" w:lineRule="auto"/>
      <w:jc w:val="both"/>
    </w:pPr>
    <w:rPr>
      <w:rFonts w:ascii="Times New Roman" w:hAnsi="Times New Roman" w:cs="Times New Roman"/>
      <w:sz w:val="24"/>
    </w:rPr>
  </w:style>
  <w:style w:type="paragraph" w:styleId="Hlavika">
    <w:name w:val="header"/>
    <w:basedOn w:val="Normlny"/>
    <w:link w:val="HlavikaChar"/>
    <w:uiPriority w:val="99"/>
    <w:unhideWhenUsed/>
    <w:pPr>
      <w:tabs>
        <w:tab w:val="center" w:pos="4513"/>
        <w:tab w:val="right" w:pos="9026"/>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13"/>
        <w:tab w:val="right" w:pos="9026"/>
      </w:tabs>
      <w:spacing w:after="0" w:line="240" w:lineRule="auto"/>
    </w:pPr>
  </w:style>
  <w:style w:type="character" w:customStyle="1" w:styleId="PtaChar">
    <w:name w:val="Päta Char"/>
    <w:basedOn w:val="Predvolenpsmoodseku"/>
    <w:link w:val="Pta"/>
    <w:uiPriority w:val="99"/>
  </w:style>
  <w:style w:type="paragraph" w:customStyle="1" w:styleId="FooterCoverPage">
    <w:name w:val="Footer Cover Page"/>
    <w:basedOn w:val="Normlny"/>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redvolenpsmoodseku"/>
    <w:link w:val="FooterCoverPage"/>
    <w:rPr>
      <w:rFonts w:ascii="Times New Roman" w:hAnsi="Times New Roman" w:cs="Times New Roman"/>
      <w:sz w:val="24"/>
    </w:rPr>
  </w:style>
  <w:style w:type="paragraph" w:customStyle="1" w:styleId="FooterSensitivity">
    <w:name w:val="Footer Sensitivity"/>
    <w:basedOn w:val="Normlny"/>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redvolenpsmoodseku"/>
    <w:link w:val="FooterSensitivity"/>
    <w:rPr>
      <w:rFonts w:ascii="Times New Roman" w:hAnsi="Times New Roman" w:cs="Times New Roman"/>
      <w:b/>
      <w:sz w:val="32"/>
    </w:rPr>
  </w:style>
  <w:style w:type="paragraph" w:customStyle="1" w:styleId="HeaderCoverPage">
    <w:name w:val="Header Cover Page"/>
    <w:basedOn w:val="Normlny"/>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redvolenpsmoodseku"/>
    <w:link w:val="HeaderCoverPage"/>
    <w:rPr>
      <w:rFonts w:ascii="Times New Roman" w:hAnsi="Times New Roman" w:cs="Times New Roman"/>
      <w:sz w:val="24"/>
    </w:rPr>
  </w:style>
  <w:style w:type="paragraph" w:customStyle="1" w:styleId="HeaderSensitivity">
    <w:name w:val="Header Sensitivity"/>
    <w:basedOn w:val="Normlny"/>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redvolenpsmoodseku"/>
    <w:link w:val="HeaderSensitivity"/>
    <w:rPr>
      <w:rFonts w:ascii="Times New Roman" w:hAnsi="Times New Roman" w:cs="Times New Roman"/>
      <w:b/>
      <w:sz w:val="32"/>
    </w:rPr>
  </w:style>
  <w:style w:type="paragraph" w:customStyle="1" w:styleId="HeaderSensitivityRight">
    <w:name w:val="Header Sensitivity Right"/>
    <w:basedOn w:val="Normlny"/>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redvolenpsmoodseku"/>
    <w:link w:val="HeaderSensitivityRight"/>
    <w:rPr>
      <w:rFonts w:ascii="Times New Roman" w:hAnsi="Times New Roman" w:cs="Times New Roman"/>
      <w:sz w:val="28"/>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Hypertextovprepojenie">
    <w:name w:val="Hyperlink"/>
    <w:basedOn w:val="Predvolenpsmoodseku"/>
    <w:uiPriority w:val="99"/>
    <w:unhideWhenUsed/>
    <w:rPr>
      <w:color w:val="0563C1"/>
      <w:u w:val="single"/>
    </w:rPr>
  </w:style>
  <w:style w:type="paragraph" w:styleId="Textpoznmkypodiarou">
    <w:name w:val="footnote text"/>
    <w:aliases w:val="-E Fußnotentext,footnote text,Fußnotentext Ursprung,Footnote Text Char Char,Footnote Text Char Char Char Char,Footnote Text1,Footnote Text Char Char Char,Fußnotentext Char1,Fußnotentext Char Char,Fußnotentext Char2,Fußn,Footnote"/>
    <w:basedOn w:val="Normlny"/>
    <w:link w:val="TextpoznmkypodiarouChar"/>
    <w:uiPriority w:val="99"/>
    <w:unhideWhenUsed/>
    <w:qFormat/>
    <w:pPr>
      <w:spacing w:after="0" w:line="240" w:lineRule="auto"/>
    </w:pPr>
    <w:rPr>
      <w:rFonts w:ascii="Calibri" w:hAnsi="Calibri" w:cs="Calibri"/>
      <w:sz w:val="20"/>
      <w:szCs w:val="20"/>
      <w:lang w:eastAsia="en-GB"/>
    </w:rPr>
  </w:style>
  <w:style w:type="character" w:customStyle="1" w:styleId="TextpoznmkypodiarouChar">
    <w:name w:val="Text poznámky pod čiarou Char"/>
    <w:aliases w:val="-E Fußnotentext Char,footnote text Char,Fußnotentext Ursprung Char,Footnote Text Char Char Char1,Footnote Text Char Char Char Char Char,Footnote Text1 Char,Footnote Text Char Char Char Char1,Fußnotentext Char1 Char"/>
    <w:basedOn w:val="Predvolenpsmoodseku"/>
    <w:link w:val="Textpoznmkypodiarou"/>
    <w:uiPriority w:val="99"/>
    <w:rPr>
      <w:rFonts w:ascii="Calibri" w:hAnsi="Calibri" w:cs="Calibri"/>
      <w:sz w:val="20"/>
      <w:szCs w:val="20"/>
      <w:lang w:eastAsia="en-GB"/>
    </w:rPr>
  </w:style>
  <w:style w:type="character" w:styleId="Odkaznapoznmkupodiarou">
    <w:name w:val="footnote reference"/>
    <w:aliases w:val="-E Fußnotenzeichen,number,SUPERS,Footnote Reference Superscript,-E Fuﬂnotenzeichen,-E Fuûnotenzeichen,EN Footnote Reference,Footnote text,BVI fnr,Footnote symbol,stylish,Footnote reference number,note TESI,ftref,R"/>
    <w:basedOn w:val="Predvolenpsmoodseku"/>
    <w:link w:val="ftrefCharCharCharCharCharCharCharCharChar"/>
    <w:uiPriority w:val="99"/>
    <w:unhideWhenUsed/>
    <w:qFormat/>
    <w:rPr>
      <w:vertAlign w:val="superscript"/>
    </w:rPr>
  </w:style>
  <w:style w:type="paragraph" w:styleId="Odsekzoznamu">
    <w:name w:val="List Paragraph"/>
    <w:basedOn w:val="Normlny"/>
    <w:uiPriority w:val="34"/>
    <w:qFormat/>
    <w:pPr>
      <w:spacing w:after="160" w:line="259" w:lineRule="auto"/>
      <w:ind w:left="720"/>
      <w:contextualSpacing/>
    </w:pPr>
  </w:style>
  <w:style w:type="paragraph" w:styleId="Revzia">
    <w:name w:val="Revision"/>
    <w:hidden/>
    <w:uiPriority w:val="99"/>
    <w:semiHidden/>
    <w:pPr>
      <w:spacing w:after="0" w:line="240" w:lineRule="auto"/>
    </w:pPr>
  </w:style>
  <w:style w:type="paragraph" w:customStyle="1" w:styleId="TextNormal">
    <w:name w:val="Text_Normal"/>
    <w:basedOn w:val="Normlny"/>
    <w:qFormat/>
    <w:pPr>
      <w:suppressAutoHyphens/>
      <w:spacing w:after="120" w:line="240" w:lineRule="auto"/>
    </w:pPr>
    <w:rPr>
      <w:rFonts w:ascii="Verdana" w:hAnsi="Verdana"/>
      <w:color w:val="EEECE1" w:themeColor="background2"/>
      <w:sz w:val="20"/>
      <w:szCs w:val="24"/>
    </w:rPr>
  </w:style>
  <w:style w:type="paragraph" w:customStyle="1" w:styleId="Bullets">
    <w:name w:val="Bullets"/>
    <w:basedOn w:val="Normlny"/>
    <w:qFormat/>
    <w:pPr>
      <w:widowControl w:val="0"/>
      <w:tabs>
        <w:tab w:val="num" w:pos="369"/>
      </w:tabs>
      <w:suppressAutoHyphens/>
      <w:autoSpaceDE w:val="0"/>
      <w:autoSpaceDN w:val="0"/>
      <w:adjustRightInd w:val="0"/>
      <w:spacing w:before="120" w:after="120" w:line="288" w:lineRule="auto"/>
      <w:ind w:left="369" w:right="113" w:hanging="227"/>
      <w:textAlignment w:val="center"/>
    </w:pPr>
    <w:rPr>
      <w:rFonts w:ascii="Verdana" w:eastAsiaTheme="majorEastAsia" w:hAnsi="Verdana" w:cs="Arial-BoldMT"/>
      <w:color w:val="EEECE1" w:themeColor="background2"/>
      <w:sz w:val="20"/>
      <w:szCs w:val="16"/>
      <w:lang w:eastAsia="fr-FR"/>
    </w:rPr>
  </w:style>
  <w:style w:type="character" w:styleId="PouitHypertextovPrepojenie">
    <w:name w:val="FollowedHyperlink"/>
    <w:basedOn w:val="Predvolenpsmoodseku"/>
    <w:uiPriority w:val="99"/>
    <w:semiHidden/>
    <w:unhideWhenUsed/>
    <w:rPr>
      <w:color w:val="800080" w:themeColor="followedHyperlink"/>
      <w:u w:val="single"/>
    </w:rPr>
  </w:style>
  <w:style w:type="character" w:customStyle="1" w:styleId="Hyperlink1">
    <w:name w:val="Hyperlink.1"/>
    <w:basedOn w:val="Predvolenpsmoodseku"/>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lny"/>
    <w:next w:val="Normlny"/>
    <w:link w:val="Odkaznapoznmkupodiarou"/>
    <w:uiPriority w:val="99"/>
    <w:pPr>
      <w:spacing w:before="120" w:after="160" w:line="240" w:lineRule="exact"/>
    </w:pPr>
    <w:rPr>
      <w:vertAlign w:val="superscript"/>
    </w:rPr>
  </w:style>
  <w:style w:type="paragraph" w:customStyle="1" w:styleId="Disclaimer">
    <w:name w:val="Disclaimer"/>
    <w:basedOn w:val="Norm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lny"/>
    <w:pPr>
      <w:spacing w:after="0"/>
      <w:ind w:left="5103"/>
    </w:pPr>
    <w:rPr>
      <w:rFonts w:ascii="Times New Roman" w:hAnsi="Times New Roman" w:cs="Times New Roman"/>
      <w:sz w:val="28"/>
    </w:rPr>
  </w:style>
  <w:style w:type="paragraph" w:customStyle="1" w:styleId="DateMarking">
    <w:name w:val="DateMarking"/>
    <w:basedOn w:val="Normlny"/>
    <w:pPr>
      <w:spacing w:after="0"/>
      <w:ind w:left="5103"/>
    </w:pPr>
    <w:rPr>
      <w:rFonts w:ascii="Times New Roman" w:hAnsi="Times New Roman" w:cs="Times New Roman"/>
      <w:i/>
      <w:sz w:val="28"/>
    </w:rPr>
  </w:style>
  <w:style w:type="paragraph" w:customStyle="1" w:styleId="ReleasableTo">
    <w:name w:val="ReleasableTo"/>
    <w:basedOn w:val="Normlny"/>
    <w:pPr>
      <w:spacing w:after="0"/>
      <w:ind w:left="5103"/>
    </w:pPr>
    <w:rPr>
      <w:rFonts w:ascii="Times New Roman" w:hAnsi="Times New Roman" w:cs="Times New Roman"/>
      <w:i/>
      <w:sz w:val="28"/>
    </w:rPr>
  </w:style>
  <w:style w:type="paragraph" w:customStyle="1" w:styleId="Typedudocument">
    <w:name w:val="Type du document"/>
    <w:basedOn w:val="Normlny"/>
    <w:next w:val="Normlny"/>
    <w:pPr>
      <w:spacing w:before="360" w:after="0" w:line="240" w:lineRule="auto"/>
      <w:jc w:val="center"/>
    </w:pPr>
    <w:rPr>
      <w:rFonts w:ascii="Times New Roman" w:hAnsi="Times New Roman" w:cs="Times New Roman"/>
      <w:b/>
      <w:sz w:val="24"/>
    </w:rPr>
  </w:style>
  <w:style w:type="paragraph" w:customStyle="1" w:styleId="Titreobjet">
    <w:name w:val="Titre objet"/>
    <w:basedOn w:val="Normlny"/>
    <w:next w:val="Normlny"/>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9690">
      <w:bodyDiv w:val="1"/>
      <w:marLeft w:val="0"/>
      <w:marRight w:val="0"/>
      <w:marTop w:val="0"/>
      <w:marBottom w:val="0"/>
      <w:divBdr>
        <w:top w:val="none" w:sz="0" w:space="0" w:color="auto"/>
        <w:left w:val="none" w:sz="0" w:space="0" w:color="auto"/>
        <w:bottom w:val="none" w:sz="0" w:space="0" w:color="auto"/>
        <w:right w:val="none" w:sz="0" w:space="0" w:color="auto"/>
      </w:divBdr>
    </w:div>
    <w:div w:id="341661521">
      <w:bodyDiv w:val="1"/>
      <w:marLeft w:val="0"/>
      <w:marRight w:val="0"/>
      <w:marTop w:val="0"/>
      <w:marBottom w:val="0"/>
      <w:divBdr>
        <w:top w:val="none" w:sz="0" w:space="0" w:color="auto"/>
        <w:left w:val="none" w:sz="0" w:space="0" w:color="auto"/>
        <w:bottom w:val="none" w:sz="0" w:space="0" w:color="auto"/>
        <w:right w:val="none" w:sz="0" w:space="0" w:color="auto"/>
      </w:divBdr>
    </w:div>
    <w:div w:id="386563787">
      <w:bodyDiv w:val="1"/>
      <w:marLeft w:val="0"/>
      <w:marRight w:val="0"/>
      <w:marTop w:val="0"/>
      <w:marBottom w:val="0"/>
      <w:divBdr>
        <w:top w:val="none" w:sz="0" w:space="0" w:color="auto"/>
        <w:left w:val="none" w:sz="0" w:space="0" w:color="auto"/>
        <w:bottom w:val="none" w:sz="0" w:space="0" w:color="auto"/>
        <w:right w:val="none" w:sz="0" w:space="0" w:color="auto"/>
      </w:divBdr>
    </w:div>
    <w:div w:id="393504446">
      <w:bodyDiv w:val="1"/>
      <w:marLeft w:val="0"/>
      <w:marRight w:val="0"/>
      <w:marTop w:val="0"/>
      <w:marBottom w:val="0"/>
      <w:divBdr>
        <w:top w:val="none" w:sz="0" w:space="0" w:color="auto"/>
        <w:left w:val="none" w:sz="0" w:space="0" w:color="auto"/>
        <w:bottom w:val="none" w:sz="0" w:space="0" w:color="auto"/>
        <w:right w:val="none" w:sz="0" w:space="0" w:color="auto"/>
      </w:divBdr>
    </w:div>
    <w:div w:id="428236417">
      <w:bodyDiv w:val="1"/>
      <w:marLeft w:val="0"/>
      <w:marRight w:val="0"/>
      <w:marTop w:val="0"/>
      <w:marBottom w:val="0"/>
      <w:divBdr>
        <w:top w:val="none" w:sz="0" w:space="0" w:color="auto"/>
        <w:left w:val="none" w:sz="0" w:space="0" w:color="auto"/>
        <w:bottom w:val="none" w:sz="0" w:space="0" w:color="auto"/>
        <w:right w:val="none" w:sz="0" w:space="0" w:color="auto"/>
      </w:divBdr>
    </w:div>
    <w:div w:id="458375300">
      <w:bodyDiv w:val="1"/>
      <w:marLeft w:val="0"/>
      <w:marRight w:val="0"/>
      <w:marTop w:val="0"/>
      <w:marBottom w:val="0"/>
      <w:divBdr>
        <w:top w:val="none" w:sz="0" w:space="0" w:color="auto"/>
        <w:left w:val="none" w:sz="0" w:space="0" w:color="auto"/>
        <w:bottom w:val="none" w:sz="0" w:space="0" w:color="auto"/>
        <w:right w:val="none" w:sz="0" w:space="0" w:color="auto"/>
      </w:divBdr>
    </w:div>
    <w:div w:id="719668251">
      <w:bodyDiv w:val="1"/>
      <w:marLeft w:val="0"/>
      <w:marRight w:val="0"/>
      <w:marTop w:val="0"/>
      <w:marBottom w:val="0"/>
      <w:divBdr>
        <w:top w:val="none" w:sz="0" w:space="0" w:color="auto"/>
        <w:left w:val="none" w:sz="0" w:space="0" w:color="auto"/>
        <w:bottom w:val="none" w:sz="0" w:space="0" w:color="auto"/>
        <w:right w:val="none" w:sz="0" w:space="0" w:color="auto"/>
      </w:divBdr>
    </w:div>
    <w:div w:id="778913727">
      <w:bodyDiv w:val="1"/>
      <w:marLeft w:val="0"/>
      <w:marRight w:val="0"/>
      <w:marTop w:val="0"/>
      <w:marBottom w:val="0"/>
      <w:divBdr>
        <w:top w:val="none" w:sz="0" w:space="0" w:color="auto"/>
        <w:left w:val="none" w:sz="0" w:space="0" w:color="auto"/>
        <w:bottom w:val="none" w:sz="0" w:space="0" w:color="auto"/>
        <w:right w:val="none" w:sz="0" w:space="0" w:color="auto"/>
      </w:divBdr>
    </w:div>
    <w:div w:id="936331209">
      <w:bodyDiv w:val="1"/>
      <w:marLeft w:val="0"/>
      <w:marRight w:val="0"/>
      <w:marTop w:val="0"/>
      <w:marBottom w:val="0"/>
      <w:divBdr>
        <w:top w:val="none" w:sz="0" w:space="0" w:color="auto"/>
        <w:left w:val="none" w:sz="0" w:space="0" w:color="auto"/>
        <w:bottom w:val="none" w:sz="0" w:space="0" w:color="auto"/>
        <w:right w:val="none" w:sz="0" w:space="0" w:color="auto"/>
      </w:divBdr>
    </w:div>
    <w:div w:id="1340617790">
      <w:bodyDiv w:val="1"/>
      <w:marLeft w:val="0"/>
      <w:marRight w:val="0"/>
      <w:marTop w:val="0"/>
      <w:marBottom w:val="0"/>
      <w:divBdr>
        <w:top w:val="none" w:sz="0" w:space="0" w:color="auto"/>
        <w:left w:val="none" w:sz="0" w:space="0" w:color="auto"/>
        <w:bottom w:val="none" w:sz="0" w:space="0" w:color="auto"/>
        <w:right w:val="none" w:sz="0" w:space="0" w:color="auto"/>
      </w:divBdr>
    </w:div>
    <w:div w:id="13622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council-proposal-coordinated-approach-restriction-movement_en.pdf" TargetMode="External"/><Relationship Id="rId3" Type="http://schemas.openxmlformats.org/officeDocument/2006/relationships/hyperlink" Target="https://www.ecdc.europa.eu/en/publications-data/covid-19-guidelines-non-pharmaceutical-interventions" TargetMode="External"/><Relationship Id="rId7" Type="http://schemas.openxmlformats.org/officeDocument/2006/relationships/hyperlink" Target="https://data.consilium.europa.eu/doc/document/ST-12060-2020-INIT/sk/pdf" TargetMode="External"/><Relationship Id="rId2" Type="http://schemas.openxmlformats.org/officeDocument/2006/relationships/hyperlink" Target="https://www.ecdc.europa.eu/sites/default/files/documents/covid-19-guidelines-non-pharmaceutical-interventions-september-2020.pdf" TargetMode="External"/><Relationship Id="rId1" Type="http://schemas.openxmlformats.org/officeDocument/2006/relationships/hyperlink" Target="https://ec.europa.eu/transport/sites/transport/files/legislation/2020-03-23-communication-green-lanes_en.pdf" TargetMode="External"/><Relationship Id="rId6" Type="http://schemas.openxmlformats.org/officeDocument/2006/relationships/hyperlink" Target="https://webgate.ec.europa.eu/multisite/primeinfrastructure/sites/primeinfrastructure/files/annex_to_point_9a_contingency_handbook_0.pdf" TargetMode="External"/><Relationship Id="rId5" Type="http://schemas.openxmlformats.org/officeDocument/2006/relationships/hyperlink" Target="https://cip.rne.eu/" TargetMode="External"/><Relationship Id="rId4" Type="http://schemas.openxmlformats.org/officeDocument/2006/relationships/hyperlink" Target="https://ec.europa.eu/transport/sites/transport/files/certificate-for-international-transport-worke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D139-D08C-4A5B-A5E3-8548E9FD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5737</Words>
  <Characters>32705</Characters>
  <Application>Microsoft Office Word</Application>
  <DocSecurity>0</DocSecurity>
  <Lines>272</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2020-11-04T08:36:00Z</dcterms:created>
  <dcterms:modified xsi:type="dcterms:W3CDTF">2020-11-04T08:36:00Z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CP-009</vt:lpwstr>
  </property>
</Properties>
</file>