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DCC" w:rsidRPr="00CB023F" w:rsidRDefault="006F0DCC" w:rsidP="00760F2C">
      <w:pPr>
        <w:spacing w:line="276" w:lineRule="auto"/>
        <w:jc w:val="center"/>
      </w:pPr>
      <w:bookmarkStart w:id="0" w:name="_GoBack"/>
      <w:bookmarkEnd w:id="0"/>
      <w:r w:rsidRPr="00CB023F">
        <w:rPr>
          <w:noProof/>
          <w:lang w:eastAsia="en-US" w:bidi="ar-SA"/>
        </w:rPr>
        <w:drawing>
          <wp:inline distT="0" distB="0" distL="0" distR="0" wp14:anchorId="2624ADB0" wp14:editId="6827ED29">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CB023F">
        <w:rPr>
          <w:noProof/>
          <w:lang w:eastAsia="en-US" w:bidi="ar-SA"/>
        </w:rPr>
        <mc:AlternateContent>
          <mc:Choice Requires="wps">
            <w:drawing>
              <wp:anchor distT="0" distB="0" distL="114300" distR="114300" simplePos="0" relativeHeight="251659264" behindDoc="1" locked="0" layoutInCell="0" allowOverlap="1" wp14:anchorId="5EC22EE3" wp14:editId="5A8D910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23F" w:rsidRPr="00010879" w:rsidRDefault="00CB023F" w:rsidP="00010879">
                            <w:pPr>
                              <w:spacing w:after="200" w:line="276" w:lineRule="auto"/>
                              <w:jc w:val="center"/>
                              <w:rPr>
                                <w:rFonts w:ascii="Arial" w:hAnsi="Arial" w:cs="Arial"/>
                                <w:b/>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22EE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CB023F" w:rsidRPr="00010879" w:rsidRDefault="00CB023F" w:rsidP="00010879">
                      <w:pPr>
                        <w:spacing w:after="200" w:line="276" w:lineRule="auto"/>
                        <w:jc w:val="center"/>
                        <w:rPr>
                          <w:rFonts w:ascii="Arial" w:hAnsi="Arial" w:cs="Arial"/>
                          <w:b/>
                          <w:sz w:val="48"/>
                        </w:rPr>
                      </w:pPr>
                      <w:r>
                        <w:rPr>
                          <w:rFonts w:ascii="Arial" w:hAnsi="Arial"/>
                          <w:b/>
                          <w:sz w:val="48"/>
                        </w:rPr>
                        <w:t>SK</w:t>
                      </w:r>
                    </w:p>
                  </w:txbxContent>
                </v:textbox>
                <w10:wrap anchorx="page" anchory="page"/>
              </v:shape>
            </w:pict>
          </mc:Fallback>
        </mc:AlternateContent>
      </w:r>
    </w:p>
    <w:p w:rsidR="00563C84" w:rsidRPr="00CB023F" w:rsidRDefault="006F0DCC" w:rsidP="00010879">
      <w:pPr>
        <w:spacing w:after="200" w:line="276" w:lineRule="auto"/>
        <w:jc w:val="center"/>
        <w:rPr>
          <w:rFonts w:ascii="Arial" w:hAnsi="Arial" w:cs="Arial"/>
        </w:rPr>
      </w:pPr>
      <w:r w:rsidRPr="00CB023F">
        <w:rPr>
          <w:rFonts w:ascii="Arial" w:hAnsi="Arial"/>
          <w:b/>
          <w:i/>
          <w:sz w:val="20"/>
        </w:rPr>
        <w:t>Európsky hospodársky</w:t>
      </w:r>
      <w:r w:rsidR="00D10479" w:rsidRPr="00CB023F">
        <w:rPr>
          <w:rFonts w:ascii="Arial" w:hAnsi="Arial"/>
          <w:b/>
          <w:i/>
          <w:sz w:val="20"/>
        </w:rPr>
        <w:t xml:space="preserve"> a </w:t>
      </w:r>
      <w:r w:rsidRPr="00CB023F">
        <w:rPr>
          <w:rFonts w:ascii="Arial" w:hAnsi="Arial"/>
          <w:b/>
          <w:i/>
          <w:sz w:val="20"/>
        </w:rPr>
        <w:t>sociálny výbor</w:t>
      </w:r>
    </w:p>
    <w:p w:rsidR="00646AC2" w:rsidRPr="00CB023F" w:rsidRDefault="00646AC2" w:rsidP="00010879">
      <w:pPr>
        <w:jc w:val="left"/>
      </w:pPr>
    </w:p>
    <w:p w:rsidR="00E04A2F" w:rsidRPr="00CB023F" w:rsidRDefault="00E04A2F" w:rsidP="00010879">
      <w:pPr>
        <w:jc w:val="right"/>
        <w:rPr>
          <w:b/>
        </w:rPr>
      </w:pPr>
      <w:r w:rsidRPr="00CB023F">
        <w:rPr>
          <w:b/>
        </w:rPr>
        <w:t>REX/497</w:t>
      </w:r>
    </w:p>
    <w:p w:rsidR="00563C84" w:rsidRPr="00CB023F" w:rsidRDefault="00E04A2F" w:rsidP="00010879">
      <w:pPr>
        <w:jc w:val="right"/>
      </w:pPr>
      <w:r w:rsidRPr="00CB023F">
        <w:rPr>
          <w:b/>
        </w:rPr>
        <w:t>Hospodárska</w:t>
      </w:r>
      <w:r w:rsidR="00D10479" w:rsidRPr="00CB023F">
        <w:rPr>
          <w:b/>
        </w:rPr>
        <w:t xml:space="preserve"> a </w:t>
      </w:r>
      <w:r w:rsidRPr="00CB023F">
        <w:rPr>
          <w:b/>
        </w:rPr>
        <w:t>sociálna súdržnosť</w:t>
      </w:r>
      <w:r w:rsidR="00D10479" w:rsidRPr="00CB023F">
        <w:rPr>
          <w:b/>
        </w:rPr>
        <w:t xml:space="preserve"> a </w:t>
      </w:r>
      <w:r w:rsidRPr="00CB023F">
        <w:rPr>
          <w:b/>
        </w:rPr>
        <w:t xml:space="preserve">európska integrácia </w:t>
      </w:r>
      <w:r w:rsidR="00CB023F" w:rsidRPr="00CB023F">
        <w:rPr>
          <w:b/>
        </w:rPr>
        <w:br/>
      </w:r>
      <w:r w:rsidRPr="00CB023F">
        <w:rPr>
          <w:b/>
        </w:rPr>
        <w:t>západného Balkánu – výzvy</w:t>
      </w:r>
      <w:r w:rsidR="00D10479" w:rsidRPr="00CB023F">
        <w:rPr>
          <w:b/>
        </w:rPr>
        <w:t xml:space="preserve"> a </w:t>
      </w:r>
      <w:r w:rsidRPr="00CB023F">
        <w:rPr>
          <w:b/>
        </w:rPr>
        <w:t>priority</w:t>
      </w:r>
    </w:p>
    <w:p w:rsidR="009B30AA" w:rsidRPr="00CB023F" w:rsidRDefault="009B30AA" w:rsidP="00CB023F">
      <w:pPr>
        <w:jc w:val="left"/>
      </w:pPr>
    </w:p>
    <w:p w:rsidR="009B30AA" w:rsidRPr="00CB023F" w:rsidRDefault="009B30AA" w:rsidP="00010879">
      <w:pPr>
        <w:jc w:val="left"/>
      </w:pPr>
    </w:p>
    <w:p w:rsidR="00646AC2" w:rsidRPr="00CB023F" w:rsidRDefault="00107072" w:rsidP="00010879">
      <w:pPr>
        <w:jc w:val="center"/>
      </w:pPr>
      <w:r w:rsidRPr="00CB023F">
        <w:rPr>
          <w:b/>
          <w:sz w:val="28"/>
        </w:rPr>
        <w:t>NÁVRH STANOVISKA</w:t>
      </w:r>
      <w:r w:rsidRPr="00CB023F">
        <w:br/>
      </w:r>
      <w:r w:rsidRPr="00CB023F">
        <w:br/>
        <w:t>sekcia pre vonkajšie vzťahy</w:t>
      </w:r>
      <w:r w:rsidRPr="00CB023F">
        <w:br/>
      </w:r>
      <w:r w:rsidRPr="00CB023F">
        <w:br/>
      </w:r>
      <w:r w:rsidRPr="00CB023F">
        <w:rPr>
          <w:b/>
        </w:rPr>
        <w:t>Hospodárska</w:t>
      </w:r>
      <w:r w:rsidR="00D10479" w:rsidRPr="00CB023F">
        <w:rPr>
          <w:b/>
        </w:rPr>
        <w:t xml:space="preserve"> a </w:t>
      </w:r>
      <w:r w:rsidRPr="00CB023F">
        <w:rPr>
          <w:b/>
        </w:rPr>
        <w:t>sociálna súdržnosť</w:t>
      </w:r>
      <w:r w:rsidR="00D10479" w:rsidRPr="00CB023F">
        <w:rPr>
          <w:b/>
        </w:rPr>
        <w:t xml:space="preserve"> a </w:t>
      </w:r>
      <w:r w:rsidRPr="00CB023F">
        <w:rPr>
          <w:b/>
        </w:rPr>
        <w:t>európska integrácia západného Balkánu – výzvy</w:t>
      </w:r>
      <w:r w:rsidR="00D10479" w:rsidRPr="00CB023F">
        <w:rPr>
          <w:b/>
        </w:rPr>
        <w:t xml:space="preserve"> a </w:t>
      </w:r>
      <w:r w:rsidRPr="00CB023F">
        <w:rPr>
          <w:b/>
        </w:rPr>
        <w:t>priority</w:t>
      </w:r>
      <w:r w:rsidRPr="00CB023F">
        <w:br/>
        <w:t>(prieskumné stanovisko)</w:t>
      </w:r>
    </w:p>
    <w:p w:rsidR="009B30AA" w:rsidRPr="00CB023F" w:rsidRDefault="009B30AA" w:rsidP="00010879">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004698" w:rsidRPr="00CB023F">
        <w:tc>
          <w:tcPr>
            <w:tcW w:w="9289" w:type="dxa"/>
            <w:gridSpan w:val="2"/>
          </w:tcPr>
          <w:p w:rsidR="00FF3759" w:rsidRPr="00CB023F" w:rsidRDefault="00FF3759" w:rsidP="001A1A12">
            <w:pPr>
              <w:jc w:val="left"/>
              <w:rPr>
                <w:rFonts w:eastAsiaTheme="minorHAnsi"/>
              </w:rPr>
            </w:pPr>
            <w:r w:rsidRPr="00CB023F">
              <w:t>Informácia pre členov sekcie</w:t>
            </w:r>
          </w:p>
        </w:tc>
      </w:tr>
      <w:tr w:rsidR="00004698" w:rsidRPr="00CB023F">
        <w:tc>
          <w:tcPr>
            <w:tcW w:w="9289" w:type="dxa"/>
            <w:gridSpan w:val="2"/>
          </w:tcPr>
          <w:p w:rsidR="00FF3759" w:rsidRPr="00CB023F" w:rsidRDefault="00FF3759" w:rsidP="00010879">
            <w:pPr>
              <w:jc w:val="left"/>
              <w:rPr>
                <w:rFonts w:eastAsiaTheme="minorHAnsi"/>
              </w:rPr>
            </w:pPr>
          </w:p>
        </w:tc>
      </w:tr>
      <w:tr w:rsidR="00004698" w:rsidRPr="00CB023F">
        <w:tc>
          <w:tcPr>
            <w:tcW w:w="3085" w:type="dxa"/>
          </w:tcPr>
          <w:p w:rsidR="00FF3759" w:rsidRPr="00CB023F" w:rsidRDefault="003648B1" w:rsidP="00010879">
            <w:pPr>
              <w:jc w:val="left"/>
              <w:rPr>
                <w:rFonts w:eastAsiaTheme="minorHAnsi"/>
              </w:rPr>
            </w:pPr>
            <w:r w:rsidRPr="00CB023F">
              <w:t>Schôdza sekcie</w:t>
            </w:r>
          </w:p>
        </w:tc>
        <w:tc>
          <w:tcPr>
            <w:tcW w:w="6204" w:type="dxa"/>
          </w:tcPr>
          <w:p w:rsidR="00FF3759" w:rsidRPr="00CB023F" w:rsidRDefault="003648B1" w:rsidP="001A1A12">
            <w:pPr>
              <w:jc w:val="left"/>
              <w:rPr>
                <w:rFonts w:eastAsiaTheme="minorHAnsi"/>
              </w:rPr>
            </w:pPr>
            <w:r w:rsidRPr="00CB023F">
              <w:t>28/03/2018, 10:00</w:t>
            </w:r>
          </w:p>
        </w:tc>
      </w:tr>
      <w:tr w:rsidR="003648B1" w:rsidRPr="00CB023F">
        <w:tc>
          <w:tcPr>
            <w:tcW w:w="3085" w:type="dxa"/>
          </w:tcPr>
          <w:p w:rsidR="003648B1" w:rsidRPr="00CB023F" w:rsidRDefault="003648B1" w:rsidP="003648B1">
            <w:pPr>
              <w:jc w:val="left"/>
            </w:pPr>
            <w:r w:rsidRPr="00CB023F">
              <w:rPr>
                <w:b/>
              </w:rPr>
              <w:t>Termín podávania pozmeňovacích návrhov</w:t>
            </w:r>
          </w:p>
        </w:tc>
        <w:tc>
          <w:tcPr>
            <w:tcW w:w="6204" w:type="dxa"/>
          </w:tcPr>
          <w:p w:rsidR="00CB023F" w:rsidRPr="00CB023F" w:rsidRDefault="00CB023F" w:rsidP="003648B1">
            <w:pPr>
              <w:jc w:val="left"/>
              <w:rPr>
                <w:b/>
              </w:rPr>
            </w:pPr>
          </w:p>
          <w:p w:rsidR="003648B1" w:rsidRPr="00CB023F" w:rsidRDefault="003648B1" w:rsidP="003648B1">
            <w:pPr>
              <w:jc w:val="left"/>
            </w:pPr>
            <w:r w:rsidRPr="00CB023F">
              <w:rPr>
                <w:b/>
              </w:rPr>
              <w:t>23/03/2018, 10:00</w:t>
            </w:r>
          </w:p>
        </w:tc>
      </w:tr>
      <w:tr w:rsidR="00004698" w:rsidRPr="00CB023F">
        <w:tc>
          <w:tcPr>
            <w:tcW w:w="3085" w:type="dxa"/>
          </w:tcPr>
          <w:p w:rsidR="00FF3759" w:rsidRPr="00CB023F" w:rsidRDefault="00FF3759" w:rsidP="00010879">
            <w:pPr>
              <w:jc w:val="left"/>
              <w:rPr>
                <w:rFonts w:eastAsiaTheme="minorHAnsi"/>
              </w:rPr>
            </w:pPr>
            <w:r w:rsidRPr="00CB023F">
              <w:t>Kontakt</w:t>
            </w:r>
          </w:p>
        </w:tc>
        <w:tc>
          <w:tcPr>
            <w:tcW w:w="6204" w:type="dxa"/>
          </w:tcPr>
          <w:p w:rsidR="00FF3759" w:rsidRPr="00CB023F" w:rsidRDefault="00DF3D74" w:rsidP="00010879">
            <w:pPr>
              <w:jc w:val="left"/>
              <w:rPr>
                <w:rFonts w:eastAsiaTheme="minorHAnsi"/>
              </w:rPr>
            </w:pPr>
            <w:hyperlink r:id="rId14">
              <w:r w:rsidR="00017F61" w:rsidRPr="00CB023F">
                <w:rPr>
                  <w:rStyle w:val="Hypertextovprepojenie"/>
                </w:rPr>
                <w:t>rex@eesc.europa.eu</w:t>
              </w:r>
            </w:hyperlink>
            <w:r w:rsidR="00017F61" w:rsidRPr="00CB023F">
              <w:t xml:space="preserve"> </w:t>
            </w:r>
          </w:p>
        </w:tc>
      </w:tr>
      <w:tr w:rsidR="00004698" w:rsidRPr="00CB023F">
        <w:tc>
          <w:tcPr>
            <w:tcW w:w="3085" w:type="dxa"/>
          </w:tcPr>
          <w:p w:rsidR="00FF3759" w:rsidRPr="00CB023F" w:rsidRDefault="00FF3759" w:rsidP="00010879">
            <w:pPr>
              <w:jc w:val="left"/>
              <w:rPr>
                <w:rFonts w:eastAsiaTheme="minorHAnsi"/>
              </w:rPr>
            </w:pPr>
            <w:r w:rsidRPr="00CB023F">
              <w:t>Administrátor</w:t>
            </w:r>
          </w:p>
        </w:tc>
        <w:tc>
          <w:tcPr>
            <w:tcW w:w="6204" w:type="dxa"/>
          </w:tcPr>
          <w:p w:rsidR="00FF3759" w:rsidRPr="00CB023F" w:rsidRDefault="0003018B" w:rsidP="001A1A12">
            <w:pPr>
              <w:jc w:val="left"/>
              <w:rPr>
                <w:rFonts w:eastAsiaTheme="minorHAnsi"/>
              </w:rPr>
            </w:pPr>
            <w:r w:rsidRPr="00CB023F">
              <w:t>David HOIĆ</w:t>
            </w:r>
          </w:p>
        </w:tc>
      </w:tr>
      <w:tr w:rsidR="00004698" w:rsidRPr="00CB023F">
        <w:tc>
          <w:tcPr>
            <w:tcW w:w="3085" w:type="dxa"/>
          </w:tcPr>
          <w:p w:rsidR="00FF3759" w:rsidRPr="00CB023F" w:rsidRDefault="00FF3759" w:rsidP="00010879">
            <w:pPr>
              <w:jc w:val="left"/>
              <w:rPr>
                <w:rFonts w:eastAsiaTheme="minorHAnsi"/>
              </w:rPr>
            </w:pPr>
            <w:r w:rsidRPr="00CB023F">
              <w:t>Dátum dokumentu</w:t>
            </w:r>
          </w:p>
        </w:tc>
        <w:tc>
          <w:tcPr>
            <w:tcW w:w="6204" w:type="dxa"/>
          </w:tcPr>
          <w:p w:rsidR="00FF3759" w:rsidRPr="00CB023F" w:rsidRDefault="00B452FE" w:rsidP="00E2345C">
            <w:pPr>
              <w:jc w:val="left"/>
              <w:rPr>
                <w:rFonts w:eastAsiaTheme="minorHAnsi"/>
              </w:rPr>
            </w:pPr>
            <w:r w:rsidRPr="00CB023F">
              <w:t>20/03/2018</w:t>
            </w:r>
          </w:p>
        </w:tc>
      </w:tr>
    </w:tbl>
    <w:p w:rsidR="00704FBB" w:rsidRPr="00CB023F" w:rsidRDefault="007F5E0D" w:rsidP="00010879">
      <w:pPr>
        <w:jc w:val="center"/>
      </w:pPr>
      <w:r w:rsidRPr="00CB023F">
        <w:t xml:space="preserve">Spravodajca: </w:t>
      </w:r>
      <w:r w:rsidRPr="00CB023F">
        <w:rPr>
          <w:b/>
        </w:rPr>
        <w:t>Andrej ZORKO (SI – II)</w:t>
      </w:r>
    </w:p>
    <w:p w:rsidR="0003018B" w:rsidRPr="00CB023F" w:rsidRDefault="0003018B" w:rsidP="00010879">
      <w:pPr>
        <w:jc w:val="center"/>
      </w:pPr>
      <w:r w:rsidRPr="00CB023F">
        <w:t xml:space="preserve">Pomocný spravodajca: </w:t>
      </w:r>
      <w:r w:rsidRPr="00CB023F">
        <w:rPr>
          <w:b/>
        </w:rPr>
        <w:t>Dimitris DIMITRIADIS (EL – I)</w:t>
      </w:r>
    </w:p>
    <w:p w:rsidR="00E32DC6" w:rsidRPr="00CB023F" w:rsidRDefault="00E32DC6" w:rsidP="00010879">
      <w:pPr>
        <w:jc w:val="left"/>
      </w:pPr>
    </w:p>
    <w:p w:rsidR="00E32DC6" w:rsidRPr="00CB023F" w:rsidRDefault="00E32DC6" w:rsidP="00010879">
      <w:pPr>
        <w:jc w:val="left"/>
      </w:pPr>
    </w:p>
    <w:p w:rsidR="003546D0" w:rsidRPr="00CB023F" w:rsidRDefault="003546D0" w:rsidP="00010879">
      <w:pPr>
        <w:jc w:val="left"/>
        <w:sectPr w:rsidR="003546D0" w:rsidRPr="00CB023F" w:rsidSect="00CB023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004698" w:rsidRPr="00CB023F">
        <w:tc>
          <w:tcPr>
            <w:tcW w:w="3085" w:type="dxa"/>
          </w:tcPr>
          <w:p w:rsidR="0011656A" w:rsidRPr="00CB023F" w:rsidRDefault="0011656A" w:rsidP="00010879">
            <w:pPr>
              <w:jc w:val="left"/>
              <w:rPr>
                <w:rFonts w:eastAsiaTheme="minorHAnsi"/>
              </w:rPr>
            </w:pPr>
            <w:r w:rsidRPr="00CB023F">
              <w:lastRenderedPageBreak/>
              <w:t>Študijná skupina</w:t>
            </w:r>
          </w:p>
        </w:tc>
        <w:tc>
          <w:tcPr>
            <w:tcW w:w="6204" w:type="dxa"/>
          </w:tcPr>
          <w:p w:rsidR="0011656A" w:rsidRPr="00CB023F" w:rsidRDefault="0003018B" w:rsidP="00010879">
            <w:pPr>
              <w:jc w:val="left"/>
              <w:rPr>
                <w:rFonts w:eastAsiaTheme="minorHAnsi"/>
              </w:rPr>
            </w:pPr>
            <w:r w:rsidRPr="00CB023F">
              <w:t>Hospodárska</w:t>
            </w:r>
            <w:r w:rsidR="00D10479" w:rsidRPr="00CB023F">
              <w:t xml:space="preserve"> a </w:t>
            </w:r>
            <w:r w:rsidRPr="00CB023F">
              <w:t>sociálna súdržnosť</w:t>
            </w:r>
            <w:r w:rsidR="00D10479" w:rsidRPr="00CB023F">
              <w:t xml:space="preserve"> a </w:t>
            </w:r>
            <w:r w:rsidRPr="00CB023F">
              <w:t>európska integrácia západného Balkánu – výzvy</w:t>
            </w:r>
            <w:r w:rsidR="00D10479" w:rsidRPr="00CB023F">
              <w:t xml:space="preserve"> a </w:t>
            </w:r>
            <w:r w:rsidRPr="00CB023F">
              <w:t>priority</w:t>
            </w:r>
          </w:p>
        </w:tc>
      </w:tr>
      <w:tr w:rsidR="00004698" w:rsidRPr="00CB023F">
        <w:tc>
          <w:tcPr>
            <w:tcW w:w="3085" w:type="dxa"/>
          </w:tcPr>
          <w:p w:rsidR="00033913" w:rsidRPr="00CB023F" w:rsidRDefault="00033913" w:rsidP="00010879">
            <w:pPr>
              <w:jc w:val="left"/>
              <w:rPr>
                <w:rFonts w:eastAsiaTheme="minorHAnsi"/>
              </w:rPr>
            </w:pPr>
          </w:p>
        </w:tc>
        <w:tc>
          <w:tcPr>
            <w:tcW w:w="6204" w:type="dxa"/>
          </w:tcPr>
          <w:p w:rsidR="00033913" w:rsidRPr="00CB023F" w:rsidRDefault="00033913" w:rsidP="00010879">
            <w:pPr>
              <w:jc w:val="left"/>
              <w:rPr>
                <w:rFonts w:eastAsiaTheme="minorHAnsi"/>
              </w:rPr>
            </w:pPr>
          </w:p>
        </w:tc>
      </w:tr>
      <w:tr w:rsidR="00004698" w:rsidRPr="00CB023F">
        <w:tc>
          <w:tcPr>
            <w:tcW w:w="3085" w:type="dxa"/>
          </w:tcPr>
          <w:p w:rsidR="0011656A" w:rsidRPr="00CB023F" w:rsidRDefault="0011656A" w:rsidP="00010879">
            <w:pPr>
              <w:jc w:val="left"/>
              <w:rPr>
                <w:rFonts w:eastAsiaTheme="minorHAnsi"/>
              </w:rPr>
            </w:pPr>
            <w:r w:rsidRPr="00CB023F">
              <w:t>Predseda</w:t>
            </w:r>
          </w:p>
        </w:tc>
        <w:tc>
          <w:tcPr>
            <w:tcW w:w="6204" w:type="dxa"/>
          </w:tcPr>
          <w:p w:rsidR="0011656A" w:rsidRPr="00CB023F" w:rsidRDefault="0003018B" w:rsidP="00010879">
            <w:pPr>
              <w:jc w:val="left"/>
              <w:rPr>
                <w:rFonts w:eastAsiaTheme="minorHAnsi"/>
              </w:rPr>
            </w:pPr>
            <w:r w:rsidRPr="00CB023F">
              <w:t>Ionuţ SIBIAN (RO – III)</w:t>
            </w:r>
          </w:p>
        </w:tc>
      </w:tr>
      <w:tr w:rsidR="00004698" w:rsidRPr="00CB023F">
        <w:tc>
          <w:tcPr>
            <w:tcW w:w="3085" w:type="dxa"/>
          </w:tcPr>
          <w:p w:rsidR="0003018B" w:rsidRPr="00CB023F" w:rsidRDefault="0003018B" w:rsidP="00010879">
            <w:pPr>
              <w:jc w:val="left"/>
              <w:rPr>
                <w:rFonts w:eastAsiaTheme="minorHAnsi"/>
              </w:rPr>
            </w:pPr>
            <w:r w:rsidRPr="00CB023F">
              <w:t>Spravodajca</w:t>
            </w:r>
          </w:p>
        </w:tc>
        <w:tc>
          <w:tcPr>
            <w:tcW w:w="6204" w:type="dxa"/>
          </w:tcPr>
          <w:p w:rsidR="0003018B" w:rsidRPr="00CB023F" w:rsidRDefault="0003018B" w:rsidP="00010879">
            <w:pPr>
              <w:jc w:val="left"/>
              <w:rPr>
                <w:rFonts w:eastAsiaTheme="minorHAnsi"/>
              </w:rPr>
            </w:pPr>
            <w:r w:rsidRPr="00CB023F">
              <w:t>Andrej ZORKO (SI – II)</w:t>
            </w:r>
          </w:p>
        </w:tc>
      </w:tr>
      <w:tr w:rsidR="00004698" w:rsidRPr="00CB023F">
        <w:tc>
          <w:tcPr>
            <w:tcW w:w="3085" w:type="dxa"/>
          </w:tcPr>
          <w:p w:rsidR="0003018B" w:rsidRPr="00CB023F" w:rsidRDefault="0003018B" w:rsidP="00010879">
            <w:pPr>
              <w:jc w:val="left"/>
              <w:rPr>
                <w:rFonts w:eastAsiaTheme="minorHAnsi"/>
              </w:rPr>
            </w:pPr>
            <w:r w:rsidRPr="00CB023F">
              <w:t>Pomocný spravodajca</w:t>
            </w:r>
          </w:p>
        </w:tc>
        <w:tc>
          <w:tcPr>
            <w:tcW w:w="6204" w:type="dxa"/>
          </w:tcPr>
          <w:p w:rsidR="0003018B" w:rsidRPr="00CB023F" w:rsidRDefault="0003018B" w:rsidP="00010879">
            <w:pPr>
              <w:jc w:val="left"/>
              <w:rPr>
                <w:rFonts w:eastAsiaTheme="minorHAnsi"/>
              </w:rPr>
            </w:pPr>
            <w:r w:rsidRPr="00CB023F">
              <w:t>Dimitris DIMITRIADIS (EL – I)</w:t>
            </w:r>
          </w:p>
        </w:tc>
      </w:tr>
      <w:tr w:rsidR="00004698" w:rsidRPr="00CB023F">
        <w:tc>
          <w:tcPr>
            <w:tcW w:w="3085" w:type="dxa"/>
          </w:tcPr>
          <w:p w:rsidR="008C3049" w:rsidRPr="00CB023F" w:rsidRDefault="008C3049" w:rsidP="00010879">
            <w:pPr>
              <w:jc w:val="left"/>
              <w:rPr>
                <w:rFonts w:eastAsiaTheme="minorHAnsi"/>
              </w:rPr>
            </w:pPr>
          </w:p>
        </w:tc>
        <w:tc>
          <w:tcPr>
            <w:tcW w:w="6204" w:type="dxa"/>
          </w:tcPr>
          <w:p w:rsidR="008C3049" w:rsidRPr="00CB023F" w:rsidRDefault="008C3049" w:rsidP="00010879">
            <w:pPr>
              <w:jc w:val="left"/>
              <w:rPr>
                <w:rFonts w:eastAsiaTheme="minorHAnsi"/>
              </w:rPr>
            </w:pPr>
          </w:p>
        </w:tc>
      </w:tr>
      <w:tr w:rsidR="00004698" w:rsidRPr="00CB023F">
        <w:tc>
          <w:tcPr>
            <w:tcW w:w="3085" w:type="dxa"/>
          </w:tcPr>
          <w:p w:rsidR="0003018B" w:rsidRPr="00CB023F" w:rsidRDefault="0003018B" w:rsidP="00010879">
            <w:pPr>
              <w:jc w:val="left"/>
              <w:rPr>
                <w:rFonts w:eastAsiaTheme="minorHAnsi"/>
              </w:rPr>
            </w:pPr>
            <w:r w:rsidRPr="00CB023F">
              <w:t>Členovia</w:t>
            </w:r>
          </w:p>
        </w:tc>
        <w:tc>
          <w:tcPr>
            <w:tcW w:w="6204" w:type="dxa"/>
          </w:tcPr>
          <w:p w:rsidR="0003018B" w:rsidRPr="00CB023F" w:rsidRDefault="00CB023F" w:rsidP="00CB023F">
            <w:pPr>
              <w:jc w:val="left"/>
              <w:rPr>
                <w:rFonts w:eastAsiaTheme="minorHAnsi"/>
              </w:rPr>
            </w:pPr>
            <w:r w:rsidRPr="00CB023F">
              <w:t>Pierre Jean COULON (FR </w:t>
            </w:r>
            <w:r w:rsidR="0003018B" w:rsidRPr="00CB023F">
              <w:t>–</w:t>
            </w:r>
            <w:r w:rsidRPr="00CB023F">
              <w:t> </w:t>
            </w:r>
            <w:r w:rsidR="0003018B" w:rsidRPr="00CB023F">
              <w:t>II)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03018B" w:rsidP="00010879">
            <w:pPr>
              <w:jc w:val="left"/>
              <w:rPr>
                <w:rFonts w:eastAsiaTheme="minorHAnsi"/>
              </w:rPr>
            </w:pPr>
            <w:r w:rsidRPr="00CB023F">
              <w:t>Božidar DANEV (BG – 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03018B" w:rsidP="00010879">
            <w:pPr>
              <w:jc w:val="left"/>
              <w:rPr>
                <w:rFonts w:eastAsiaTheme="minorHAnsi"/>
              </w:rPr>
            </w:pPr>
            <w:r w:rsidRPr="00CB023F">
              <w:t>Marija HANŽEVAČKI (HR – II)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03018B" w:rsidP="00010879">
            <w:pPr>
              <w:jc w:val="left"/>
              <w:rPr>
                <w:rFonts w:eastAsiaTheme="minorHAnsi"/>
              </w:rPr>
            </w:pPr>
            <w:r w:rsidRPr="00CB023F">
              <w:t>Jože SMOLE (SI – 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03018B" w:rsidP="00010879">
            <w:pPr>
              <w:jc w:val="left"/>
              <w:rPr>
                <w:rFonts w:eastAsiaTheme="minorHAnsi"/>
              </w:rPr>
            </w:pPr>
            <w:r w:rsidRPr="00CB023F">
              <w:t>Ákos TOPOLÁNSZKY (HU – III)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CB023F" w:rsidP="00CB023F">
            <w:pPr>
              <w:jc w:val="left"/>
              <w:rPr>
                <w:rFonts w:eastAsiaTheme="minorHAnsi"/>
              </w:rPr>
            </w:pPr>
            <w:r w:rsidRPr="00CB023F">
              <w:t>Josiane WILLEMS (LU </w:t>
            </w:r>
            <w:r w:rsidR="0003018B" w:rsidRPr="00CB023F">
              <w:t>–</w:t>
            </w:r>
            <w:r w:rsidRPr="00CB023F">
              <w:t> </w:t>
            </w:r>
            <w:r w:rsidR="0003018B" w:rsidRPr="00CB023F">
              <w:t>III)</w:t>
            </w:r>
          </w:p>
        </w:tc>
      </w:tr>
      <w:tr w:rsidR="00004698" w:rsidRPr="00CB023F">
        <w:tc>
          <w:tcPr>
            <w:tcW w:w="3085" w:type="dxa"/>
          </w:tcPr>
          <w:p w:rsidR="0003018B" w:rsidRPr="00CB023F" w:rsidRDefault="0003018B" w:rsidP="00010879">
            <w:pPr>
              <w:jc w:val="left"/>
              <w:rPr>
                <w:rFonts w:eastAsiaTheme="minorHAnsi"/>
              </w:rPr>
            </w:pPr>
          </w:p>
        </w:tc>
        <w:tc>
          <w:tcPr>
            <w:tcW w:w="6204" w:type="dxa"/>
          </w:tcPr>
          <w:p w:rsidR="0003018B" w:rsidRPr="00CB023F" w:rsidRDefault="0003018B" w:rsidP="00010879">
            <w:pPr>
              <w:jc w:val="left"/>
              <w:rPr>
                <w:rFonts w:eastAsiaTheme="minorHAnsi"/>
              </w:rPr>
            </w:pPr>
          </w:p>
        </w:tc>
      </w:tr>
      <w:tr w:rsidR="00004698" w:rsidRPr="00CB023F">
        <w:tc>
          <w:tcPr>
            <w:tcW w:w="3085" w:type="dxa"/>
          </w:tcPr>
          <w:p w:rsidR="0003018B" w:rsidRPr="00CB023F" w:rsidRDefault="0003018B" w:rsidP="00010879">
            <w:pPr>
              <w:jc w:val="left"/>
              <w:rPr>
                <w:rFonts w:eastAsiaTheme="minorHAnsi"/>
              </w:rPr>
            </w:pPr>
            <w:r w:rsidRPr="00CB023F">
              <w:t>Experti</w:t>
            </w:r>
          </w:p>
        </w:tc>
        <w:tc>
          <w:tcPr>
            <w:tcW w:w="6204" w:type="dxa"/>
          </w:tcPr>
          <w:p w:rsidR="0003018B" w:rsidRPr="00CB023F" w:rsidRDefault="0003018B" w:rsidP="00010879">
            <w:pPr>
              <w:jc w:val="left"/>
            </w:pPr>
            <w:r w:rsidRPr="00CB023F">
              <w:t xml:space="preserve">Béla GALGÓCZI </w:t>
            </w:r>
            <w:r w:rsidRPr="00CB023F">
              <w:rPr>
                <w:i/>
              </w:rPr>
              <w:t>(za spravodajcu)</w:t>
            </w:r>
          </w:p>
          <w:p w:rsidR="0003018B" w:rsidRPr="00CB023F" w:rsidRDefault="0003018B" w:rsidP="00010879">
            <w:pPr>
              <w:jc w:val="left"/>
            </w:pPr>
            <w:r w:rsidRPr="00CB023F">
              <w:t xml:space="preserve">Iakovos MICHAILIDIS </w:t>
            </w:r>
            <w:r w:rsidRPr="00CB023F">
              <w:rPr>
                <w:i/>
              </w:rPr>
              <w:t>(za pomocného spravodajcu)</w:t>
            </w:r>
          </w:p>
          <w:p w:rsidR="0003018B" w:rsidRPr="00CB023F" w:rsidRDefault="0003018B" w:rsidP="00010879">
            <w:pPr>
              <w:jc w:val="left"/>
              <w:rPr>
                <w:rFonts w:eastAsiaTheme="minorHAnsi"/>
              </w:rPr>
            </w:pPr>
            <w:r w:rsidRPr="00CB023F">
              <w:t xml:space="preserve">Spyridon SFETAS </w:t>
            </w:r>
            <w:r w:rsidRPr="00CB023F">
              <w:rPr>
                <w:i/>
              </w:rPr>
              <w:t>(za skupinu I)</w:t>
            </w:r>
          </w:p>
        </w:tc>
      </w:tr>
    </w:tbl>
    <w:p w:rsidR="0012220C" w:rsidRPr="00CB023F" w:rsidRDefault="0012220C" w:rsidP="00010879">
      <w:pPr>
        <w:jc w:val="left"/>
      </w:pPr>
    </w:p>
    <w:tbl>
      <w:tblPr>
        <w:tblW w:w="0" w:type="auto"/>
        <w:tblLook w:val="04A0" w:firstRow="1" w:lastRow="0" w:firstColumn="1" w:lastColumn="0" w:noHBand="0" w:noVBand="1"/>
      </w:tblPr>
      <w:tblGrid>
        <w:gridCol w:w="3085"/>
        <w:gridCol w:w="6202"/>
      </w:tblGrid>
      <w:tr w:rsidR="00004698" w:rsidRPr="00CB023F">
        <w:tc>
          <w:tcPr>
            <w:tcW w:w="3085" w:type="dxa"/>
          </w:tcPr>
          <w:p w:rsidR="0011656A" w:rsidRPr="00CB023F" w:rsidRDefault="0090053A" w:rsidP="00010879">
            <w:pPr>
              <w:jc w:val="left"/>
              <w:rPr>
                <w:rFonts w:eastAsiaTheme="minorHAnsi"/>
              </w:rPr>
            </w:pPr>
            <w:r w:rsidRPr="00CB023F">
              <w:t xml:space="preserve">Konzultácia </w:t>
            </w:r>
          </w:p>
        </w:tc>
        <w:tc>
          <w:tcPr>
            <w:tcW w:w="6202" w:type="dxa"/>
          </w:tcPr>
          <w:p w:rsidR="0011656A" w:rsidRPr="00CB023F" w:rsidRDefault="0003018B" w:rsidP="00010879">
            <w:pPr>
              <w:jc w:val="left"/>
              <w:rPr>
                <w:rFonts w:eastAsiaTheme="minorHAnsi"/>
              </w:rPr>
            </w:pPr>
            <w:r w:rsidRPr="00CB023F">
              <w:t>bulharské predsedníctvo Rady EÚ, 05/09/2017</w:t>
            </w:r>
          </w:p>
        </w:tc>
      </w:tr>
      <w:tr w:rsidR="00004698" w:rsidRPr="00CB023F">
        <w:trPr>
          <w:trHeight w:val="251"/>
        </w:trPr>
        <w:tc>
          <w:tcPr>
            <w:tcW w:w="3085" w:type="dxa"/>
          </w:tcPr>
          <w:p w:rsidR="0016503F" w:rsidRPr="00CB023F" w:rsidRDefault="0016503F" w:rsidP="00010879">
            <w:pPr>
              <w:jc w:val="left"/>
              <w:rPr>
                <w:rFonts w:eastAsiaTheme="minorHAnsi"/>
              </w:rPr>
            </w:pPr>
            <w:r w:rsidRPr="00CB023F">
              <w:t>Právny základ</w:t>
            </w:r>
          </w:p>
        </w:tc>
        <w:tc>
          <w:tcPr>
            <w:tcW w:w="6202" w:type="dxa"/>
          </w:tcPr>
          <w:p w:rsidR="0016503F" w:rsidRPr="00CB023F" w:rsidRDefault="0016503F" w:rsidP="00010879">
            <w:pPr>
              <w:jc w:val="left"/>
            </w:pPr>
            <w:r w:rsidRPr="00CB023F">
              <w:t>článok 304 Zmluvy</w:t>
            </w:r>
            <w:r w:rsidR="00D10479" w:rsidRPr="00CB023F">
              <w:t xml:space="preserve"> o </w:t>
            </w:r>
            <w:r w:rsidRPr="00CB023F">
              <w:t>fungovaní Európskej únie</w:t>
            </w:r>
          </w:p>
          <w:p w:rsidR="0003018B" w:rsidRPr="00CB023F" w:rsidRDefault="0003018B" w:rsidP="00010879">
            <w:pPr>
              <w:jc w:val="left"/>
              <w:rPr>
                <w:rFonts w:eastAsiaTheme="minorHAnsi"/>
              </w:rPr>
            </w:pPr>
            <w:r w:rsidRPr="00CB023F">
              <w:t>článok 30 Rokovacieho poriadku EHSV</w:t>
            </w:r>
          </w:p>
        </w:tc>
      </w:tr>
      <w:tr w:rsidR="00004698" w:rsidRPr="00CB023F">
        <w:trPr>
          <w:trHeight w:val="250"/>
        </w:trPr>
        <w:tc>
          <w:tcPr>
            <w:tcW w:w="3085" w:type="dxa"/>
          </w:tcPr>
          <w:p w:rsidR="0016503F" w:rsidRPr="00CB023F" w:rsidRDefault="0016503F" w:rsidP="00010879">
            <w:pPr>
              <w:jc w:val="left"/>
              <w:rPr>
                <w:rFonts w:eastAsiaTheme="minorHAnsi"/>
              </w:rPr>
            </w:pPr>
          </w:p>
        </w:tc>
        <w:tc>
          <w:tcPr>
            <w:tcW w:w="6202" w:type="dxa"/>
          </w:tcPr>
          <w:p w:rsidR="0016503F" w:rsidRPr="00CB023F" w:rsidRDefault="0016503F" w:rsidP="00010879">
            <w:pPr>
              <w:jc w:val="left"/>
              <w:rPr>
                <w:rFonts w:eastAsiaTheme="minorHAnsi"/>
              </w:rPr>
            </w:pPr>
          </w:p>
        </w:tc>
      </w:tr>
      <w:tr w:rsidR="00004698" w:rsidRPr="00CB023F">
        <w:tc>
          <w:tcPr>
            <w:tcW w:w="3085" w:type="dxa"/>
          </w:tcPr>
          <w:p w:rsidR="00DF5B64" w:rsidRPr="00CB023F" w:rsidRDefault="00AD4B4F" w:rsidP="00010879">
            <w:pPr>
              <w:jc w:val="left"/>
              <w:rPr>
                <w:rFonts w:eastAsiaTheme="minorHAnsi"/>
              </w:rPr>
            </w:pPr>
            <w:r w:rsidRPr="00CB023F">
              <w:t>Príslušná sekcia</w:t>
            </w:r>
          </w:p>
        </w:tc>
        <w:tc>
          <w:tcPr>
            <w:tcW w:w="6202" w:type="dxa"/>
          </w:tcPr>
          <w:p w:rsidR="00DF5B64" w:rsidRPr="00CB023F" w:rsidRDefault="0003018B" w:rsidP="00010879">
            <w:pPr>
              <w:jc w:val="left"/>
              <w:rPr>
                <w:rFonts w:eastAsiaTheme="minorHAnsi"/>
              </w:rPr>
            </w:pPr>
            <w:r w:rsidRPr="00CB023F">
              <w:t>REX</w:t>
            </w:r>
          </w:p>
        </w:tc>
      </w:tr>
      <w:tr w:rsidR="00004698" w:rsidRPr="00CB023F">
        <w:tc>
          <w:tcPr>
            <w:tcW w:w="3085" w:type="dxa"/>
          </w:tcPr>
          <w:p w:rsidR="00A156E6" w:rsidRPr="00CB023F" w:rsidRDefault="00A156E6" w:rsidP="00010879">
            <w:pPr>
              <w:jc w:val="left"/>
              <w:rPr>
                <w:rFonts w:eastAsiaTheme="minorHAnsi"/>
              </w:rPr>
            </w:pPr>
            <w:r w:rsidRPr="00CB023F">
              <w:t>Prijaté</w:t>
            </w:r>
            <w:r w:rsidR="00D10479" w:rsidRPr="00CB023F">
              <w:t xml:space="preserve"> v </w:t>
            </w:r>
            <w:r w:rsidRPr="00CB023F">
              <w:t>sekcii</w:t>
            </w:r>
          </w:p>
        </w:tc>
        <w:tc>
          <w:tcPr>
            <w:tcW w:w="6202" w:type="dxa"/>
          </w:tcPr>
          <w:p w:rsidR="00A156E6" w:rsidRPr="00CB023F" w:rsidRDefault="003439AB" w:rsidP="00010879">
            <w:pPr>
              <w:jc w:val="left"/>
              <w:rPr>
                <w:rFonts w:eastAsiaTheme="minorHAnsi"/>
              </w:rPr>
            </w:pPr>
            <w:r w:rsidRPr="00CB023F">
              <w:t>DD/MM/YYYY</w:t>
            </w:r>
          </w:p>
        </w:tc>
      </w:tr>
      <w:tr w:rsidR="00004698" w:rsidRPr="00CB023F">
        <w:tc>
          <w:tcPr>
            <w:tcW w:w="3085" w:type="dxa"/>
          </w:tcPr>
          <w:p w:rsidR="00A156E6" w:rsidRPr="00CB023F" w:rsidRDefault="00A156E6" w:rsidP="00010879">
            <w:pPr>
              <w:jc w:val="left"/>
              <w:rPr>
                <w:rFonts w:eastAsiaTheme="minorHAnsi"/>
              </w:rPr>
            </w:pPr>
            <w:r w:rsidRPr="00CB023F">
              <w:t>Prijaté</w:t>
            </w:r>
            <w:r w:rsidR="00D10479" w:rsidRPr="00CB023F">
              <w:t xml:space="preserve"> v </w:t>
            </w:r>
            <w:r w:rsidRPr="00CB023F">
              <w:t>pléne</w:t>
            </w:r>
          </w:p>
        </w:tc>
        <w:tc>
          <w:tcPr>
            <w:tcW w:w="6202" w:type="dxa"/>
          </w:tcPr>
          <w:p w:rsidR="00A156E6" w:rsidRPr="00CB023F" w:rsidRDefault="003439AB" w:rsidP="00010879">
            <w:pPr>
              <w:jc w:val="left"/>
              <w:rPr>
                <w:rFonts w:eastAsiaTheme="minorHAnsi"/>
              </w:rPr>
            </w:pPr>
            <w:r w:rsidRPr="00CB023F">
              <w:t>DD/MM/YYYY</w:t>
            </w:r>
          </w:p>
        </w:tc>
      </w:tr>
      <w:tr w:rsidR="00004698" w:rsidRPr="00CB023F">
        <w:tc>
          <w:tcPr>
            <w:tcW w:w="3085" w:type="dxa"/>
          </w:tcPr>
          <w:p w:rsidR="00BA1290" w:rsidRPr="00CB023F" w:rsidRDefault="00BA1290" w:rsidP="00010879">
            <w:pPr>
              <w:jc w:val="left"/>
              <w:rPr>
                <w:rFonts w:eastAsiaTheme="minorHAnsi"/>
              </w:rPr>
            </w:pPr>
            <w:r w:rsidRPr="00CB023F">
              <w:t>Plenárne zasadnutie č.</w:t>
            </w:r>
          </w:p>
        </w:tc>
        <w:tc>
          <w:tcPr>
            <w:tcW w:w="6202" w:type="dxa"/>
          </w:tcPr>
          <w:p w:rsidR="00BA1290" w:rsidRPr="00CB023F" w:rsidRDefault="00BA1290" w:rsidP="00010879">
            <w:pPr>
              <w:jc w:val="left"/>
              <w:rPr>
                <w:rFonts w:eastAsiaTheme="minorHAnsi"/>
              </w:rPr>
            </w:pPr>
            <w:r w:rsidRPr="00CB023F">
              <w:t>…</w:t>
            </w:r>
          </w:p>
        </w:tc>
      </w:tr>
      <w:tr w:rsidR="00004698" w:rsidRPr="00CB023F">
        <w:tc>
          <w:tcPr>
            <w:tcW w:w="3085" w:type="dxa"/>
          </w:tcPr>
          <w:p w:rsidR="00D423D4" w:rsidRPr="00CB023F" w:rsidRDefault="0043024C" w:rsidP="00010879">
            <w:pPr>
              <w:jc w:val="left"/>
              <w:rPr>
                <w:rFonts w:eastAsiaTheme="minorHAnsi"/>
              </w:rPr>
            </w:pPr>
            <w:r w:rsidRPr="00CB023F">
              <w:t>Výsledok hlasovania</w:t>
            </w:r>
            <w:r w:rsidRPr="00CB023F">
              <w:br/>
              <w:t>(za/proti/zdržalo sa)</w:t>
            </w:r>
          </w:p>
        </w:tc>
        <w:tc>
          <w:tcPr>
            <w:tcW w:w="6202" w:type="dxa"/>
            <w:vAlign w:val="bottom"/>
          </w:tcPr>
          <w:p w:rsidR="00A156E6" w:rsidRPr="00CB023F" w:rsidRDefault="00A156E6" w:rsidP="00010879">
            <w:pPr>
              <w:jc w:val="left"/>
              <w:rPr>
                <w:rFonts w:eastAsiaTheme="minorHAnsi"/>
              </w:rPr>
            </w:pPr>
            <w:r w:rsidRPr="00CB023F">
              <w:t>…/…/…</w:t>
            </w:r>
          </w:p>
        </w:tc>
      </w:tr>
    </w:tbl>
    <w:p w:rsidR="0090053A" w:rsidRPr="00CB023F" w:rsidRDefault="0090053A" w:rsidP="00010879">
      <w:pPr>
        <w:jc w:val="left"/>
      </w:pPr>
    </w:p>
    <w:p w:rsidR="00646AC2" w:rsidRPr="00CB023F" w:rsidRDefault="00646AC2" w:rsidP="00010879">
      <w:pPr>
        <w:jc w:val="left"/>
      </w:pPr>
      <w:r w:rsidRPr="00CB023F">
        <w:br w:type="page"/>
      </w:r>
    </w:p>
    <w:p w:rsidR="00011D33" w:rsidRPr="00CB023F" w:rsidRDefault="00011D33" w:rsidP="001A1A12">
      <w:pPr>
        <w:pStyle w:val="Nadpis1"/>
      </w:pPr>
      <w:r w:rsidRPr="00CB023F">
        <w:rPr>
          <w:b/>
        </w:rPr>
        <w:lastRenderedPageBreak/>
        <w:t>Závery</w:t>
      </w:r>
      <w:r w:rsidR="00D10479" w:rsidRPr="00CB023F">
        <w:rPr>
          <w:b/>
        </w:rPr>
        <w:t xml:space="preserve"> a </w:t>
      </w:r>
      <w:r w:rsidRPr="00CB023F">
        <w:rPr>
          <w:b/>
        </w:rPr>
        <w:t>odporúčania</w:t>
      </w:r>
    </w:p>
    <w:p w:rsidR="00BB293E" w:rsidRPr="00CB023F" w:rsidRDefault="00BB293E" w:rsidP="00010879">
      <w:pPr>
        <w:jc w:val="left"/>
      </w:pPr>
    </w:p>
    <w:p w:rsidR="00D10479" w:rsidRPr="00CB023F" w:rsidRDefault="0006047B" w:rsidP="00F05719">
      <w:pPr>
        <w:pStyle w:val="Nadpis2"/>
      </w:pPr>
      <w:r w:rsidRPr="00CB023F">
        <w:t>Európsky hospodársky</w:t>
      </w:r>
      <w:r w:rsidR="00D10479" w:rsidRPr="00CB023F">
        <w:t xml:space="preserve"> a </w:t>
      </w:r>
      <w:r w:rsidRPr="00CB023F">
        <w:t>sociálny výbor (EHSV) víta skutočnosť, že integrácia krajín západného Balkánu do Európskej únie</w:t>
      </w:r>
      <w:r w:rsidR="00D10479" w:rsidRPr="00CB023F">
        <w:t xml:space="preserve"> a </w:t>
      </w:r>
      <w:r w:rsidRPr="00CB023F">
        <w:t>ich hospodárska</w:t>
      </w:r>
      <w:r w:rsidR="00D10479" w:rsidRPr="00CB023F">
        <w:t xml:space="preserve"> a </w:t>
      </w:r>
      <w:r w:rsidRPr="00CB023F">
        <w:t>sociálna súdržnosť sú jednou</w:t>
      </w:r>
      <w:r w:rsidR="00D10479" w:rsidRPr="00CB023F">
        <w:t xml:space="preserve"> z </w:t>
      </w:r>
      <w:r w:rsidRPr="00CB023F">
        <w:t>priorít bulharského predsedníctva</w:t>
      </w:r>
      <w:r w:rsidR="00D10479" w:rsidRPr="00CB023F">
        <w:t>.</w:t>
      </w:r>
    </w:p>
    <w:p w:rsidR="0006047B" w:rsidRPr="00CB023F" w:rsidRDefault="0006047B" w:rsidP="00E00CF2"/>
    <w:p w:rsidR="003B413C" w:rsidRPr="00CB023F" w:rsidRDefault="00B71AEC" w:rsidP="00E2345C">
      <w:pPr>
        <w:pStyle w:val="Nadpis2"/>
        <w:rPr>
          <w:color w:val="030303"/>
        </w:rPr>
      </w:pPr>
      <w:r w:rsidRPr="00CB023F">
        <w:t>EHSV je presvedčený, že rozšírenie EÚ,</w:t>
      </w:r>
      <w:r w:rsidR="00D10479" w:rsidRPr="00CB023F">
        <w:t xml:space="preserve"> a </w:t>
      </w:r>
      <w:r w:rsidRPr="00CB023F">
        <w:t>to najmä šírenie jej demokratických hodnôt</w:t>
      </w:r>
      <w:r w:rsidR="00D10479" w:rsidRPr="00CB023F">
        <w:t xml:space="preserve"> a </w:t>
      </w:r>
      <w:r w:rsidRPr="00CB023F">
        <w:t>zákonných noriem</w:t>
      </w:r>
      <w:r w:rsidR="00D10479" w:rsidRPr="00CB023F">
        <w:t xml:space="preserve"> v </w:t>
      </w:r>
      <w:r w:rsidRPr="00CB023F">
        <w:t>regióne západného Balkánu je tak</w:t>
      </w:r>
      <w:r w:rsidR="00D10479" w:rsidRPr="00CB023F">
        <w:t xml:space="preserve"> v </w:t>
      </w:r>
      <w:r w:rsidRPr="00CB023F">
        <w:t>záujme krajín západného Balkánu, ako aj EÚ. Politika</w:t>
      </w:r>
      <w:r w:rsidR="00D10479" w:rsidRPr="00CB023F">
        <w:t xml:space="preserve"> v </w:t>
      </w:r>
      <w:r w:rsidRPr="00CB023F">
        <w:t>oblasti rozširovania je kľúčovým prvkom globálnej stratégie EÚ</w:t>
      </w:r>
      <w:r w:rsidR="00D10479" w:rsidRPr="00CB023F">
        <w:t xml:space="preserve"> a </w:t>
      </w:r>
      <w:r w:rsidRPr="00CB023F">
        <w:t>základným kameňom stability</w:t>
      </w:r>
      <w:r w:rsidR="00D10479" w:rsidRPr="00CB023F">
        <w:t xml:space="preserve"> a </w:t>
      </w:r>
      <w:r w:rsidRPr="00CB023F">
        <w:t>prosperity Európy. EHSV preto navrhuje, aby integrácia krajín západného Balkánu bola</w:t>
      </w:r>
      <w:r w:rsidR="00D10479" w:rsidRPr="00CB023F">
        <w:t xml:space="preserve"> v </w:t>
      </w:r>
      <w:r w:rsidRPr="00CB023F">
        <w:t>budúcnosti jednou</w:t>
      </w:r>
      <w:r w:rsidR="00D10479" w:rsidRPr="00CB023F">
        <w:t xml:space="preserve"> z </w:t>
      </w:r>
      <w:r w:rsidRPr="00CB023F">
        <w:t>hlavných priorít EÚ, avšak za predpokladu, že tieto krajiny budú pokračovať</w:t>
      </w:r>
      <w:r w:rsidR="00D10479" w:rsidRPr="00CB023F">
        <w:t xml:space="preserve"> v </w:t>
      </w:r>
      <w:r w:rsidRPr="00CB023F">
        <w:t>ceste</w:t>
      </w:r>
      <w:r w:rsidR="00D10479" w:rsidRPr="00CB023F">
        <w:t xml:space="preserve"> k </w:t>
      </w:r>
      <w:r w:rsidRPr="00CB023F">
        <w:t>splneniu podmienok potrebných na pristúpenie</w:t>
      </w:r>
      <w:r w:rsidR="00D10479" w:rsidRPr="00CB023F">
        <w:t xml:space="preserve"> k </w:t>
      </w:r>
      <w:r w:rsidRPr="00CB023F">
        <w:t>EÚ</w:t>
      </w:r>
      <w:r w:rsidRPr="00CB023F">
        <w:rPr>
          <w:rStyle w:val="Odkaznapoznmkupodiarou"/>
        </w:rPr>
        <w:footnoteReference w:id="2"/>
      </w:r>
      <w:r w:rsidRPr="00CB023F">
        <w:t>.</w:t>
      </w:r>
    </w:p>
    <w:p w:rsidR="00C7489B" w:rsidRPr="00CB023F" w:rsidRDefault="00C7489B" w:rsidP="00CB023F">
      <w:pPr>
        <w:pStyle w:val="Nadpis2"/>
        <w:numPr>
          <w:ilvl w:val="0"/>
          <w:numId w:val="0"/>
        </w:numPr>
        <w:rPr>
          <w:color w:val="030303"/>
        </w:rPr>
      </w:pPr>
    </w:p>
    <w:p w:rsidR="00D10479" w:rsidRPr="00CB023F" w:rsidRDefault="00C7489B" w:rsidP="00DD1B31">
      <w:pPr>
        <w:pStyle w:val="Nadpis2"/>
      </w:pPr>
      <w:r w:rsidRPr="00CB023F">
        <w:t>EHSV privíta hlavy štátov</w:t>
      </w:r>
      <w:r w:rsidR="00D10479" w:rsidRPr="00CB023F">
        <w:t xml:space="preserve"> a </w:t>
      </w:r>
      <w:r w:rsidRPr="00CB023F">
        <w:t>predsedov vlád štátov EÚ</w:t>
      </w:r>
      <w:r w:rsidR="00D10479" w:rsidRPr="00CB023F">
        <w:t xml:space="preserve"> a </w:t>
      </w:r>
      <w:r w:rsidRPr="00CB023F">
        <w:t>krajín západného Balkánu na summite, ktorý sa uskutoční 17</w:t>
      </w:r>
      <w:r w:rsidR="00D10479" w:rsidRPr="00CB023F">
        <w:t>. mája v </w:t>
      </w:r>
      <w:r w:rsidRPr="00CB023F">
        <w:t>Sofii.</w:t>
      </w:r>
      <w:r w:rsidR="00D10479" w:rsidRPr="00CB023F">
        <w:t xml:space="preserve"> V </w:t>
      </w:r>
      <w:r w:rsidRPr="00CB023F">
        <w:t>spolupráci so svojimi partnermi bude EHSV spoluorganizátorom konferencie občianskej spoločnosti krajín západného Balkánu, ktorá sa uskutoční 15</w:t>
      </w:r>
      <w:r w:rsidR="00D10479" w:rsidRPr="00CB023F">
        <w:t>. mája v </w:t>
      </w:r>
      <w:r w:rsidRPr="00CB023F">
        <w:t>Sofii pred začiatkom summitu. EHSV sa zaviazal usporiadať pred každým summitom spoločné podujatie so zástupcami organizácií občianskej spoločnosti</w:t>
      </w:r>
      <w:r w:rsidRPr="00CB023F">
        <w:rPr>
          <w:sz w:val="24"/>
          <w:vertAlign w:val="superscript"/>
        </w:rPr>
        <w:footnoteReference w:id="3"/>
      </w:r>
      <w:r w:rsidRPr="00CB023F">
        <w:t xml:space="preserve"> zo západného Balkánu</w:t>
      </w:r>
      <w:r w:rsidR="00D10479" w:rsidRPr="00CB023F">
        <w:t xml:space="preserve"> a </w:t>
      </w:r>
      <w:r w:rsidRPr="00CB023F">
        <w:t>EÚ.</w:t>
      </w:r>
      <w:r w:rsidRPr="00CB023F">
        <w:rPr>
          <w:color w:val="030303"/>
        </w:rPr>
        <w:t xml:space="preserve"> EHSV vyzýva</w:t>
      </w:r>
      <w:r w:rsidRPr="00CB023F">
        <w:t xml:space="preserve"> inštitúcie EÚ</w:t>
      </w:r>
      <w:r w:rsidR="00D10479" w:rsidRPr="00CB023F">
        <w:t xml:space="preserve"> a </w:t>
      </w:r>
      <w:r w:rsidRPr="00CB023F">
        <w:t>jej členské štáty, aby pravidelne pozývali najvyšších predstaviteľov krajín západného Balkánu na summity EÚ ako dôkaz toho, že EÚ považuje tento región za súčasť svojej budúcnosti</w:t>
      </w:r>
      <w:r w:rsidR="00D10479" w:rsidRPr="00CB023F">
        <w:t>.</w:t>
      </w:r>
    </w:p>
    <w:p w:rsidR="006F70AC" w:rsidRPr="00CB023F" w:rsidRDefault="006F70AC" w:rsidP="00E00CF2"/>
    <w:p w:rsidR="00FB153B" w:rsidRPr="00CB023F" w:rsidRDefault="00FB153B" w:rsidP="00FB153B">
      <w:pPr>
        <w:pStyle w:val="Nadpis2"/>
        <w:rPr>
          <w:color w:val="030303"/>
        </w:rPr>
      </w:pPr>
      <w:r w:rsidRPr="00CB023F">
        <w:rPr>
          <w:color w:val="030303"/>
        </w:rPr>
        <w:t>EHSV dúfa, že na summite</w:t>
      </w:r>
      <w:r w:rsidR="00D10479" w:rsidRPr="00CB023F">
        <w:rPr>
          <w:color w:val="030303"/>
        </w:rPr>
        <w:t xml:space="preserve"> v </w:t>
      </w:r>
      <w:r w:rsidRPr="00CB023F">
        <w:rPr>
          <w:color w:val="030303"/>
        </w:rPr>
        <w:t>Sofii sa potvrdí nový impulz pre angažovanosť EÚ</w:t>
      </w:r>
      <w:r w:rsidR="00D10479" w:rsidRPr="00CB023F">
        <w:rPr>
          <w:color w:val="030303"/>
        </w:rPr>
        <w:t xml:space="preserve"> v </w:t>
      </w:r>
      <w:r w:rsidRPr="00CB023F">
        <w:rPr>
          <w:color w:val="030303"/>
        </w:rPr>
        <w:t>regióne</w:t>
      </w:r>
      <w:r w:rsidR="00D10479" w:rsidRPr="00CB023F">
        <w:rPr>
          <w:color w:val="030303"/>
        </w:rPr>
        <w:t xml:space="preserve"> a </w:t>
      </w:r>
      <w:r w:rsidRPr="00CB023F">
        <w:rPr>
          <w:color w:val="030303"/>
        </w:rPr>
        <w:t>budúce predsedníctva sa povzbudia</w:t>
      </w:r>
      <w:r w:rsidR="00D10479" w:rsidRPr="00CB023F">
        <w:rPr>
          <w:color w:val="030303"/>
        </w:rPr>
        <w:t xml:space="preserve"> k </w:t>
      </w:r>
      <w:r w:rsidRPr="00CB023F">
        <w:rPr>
          <w:color w:val="030303"/>
        </w:rPr>
        <w:t>tomu, aby integráciu krajín západného Balkánu považovali naďalej za jednu zo svojich hlavných priorít.</w:t>
      </w:r>
    </w:p>
    <w:p w:rsidR="00B71AEC" w:rsidRPr="00CB023F" w:rsidRDefault="00B71AEC" w:rsidP="001E0830">
      <w:pPr>
        <w:pStyle w:val="Nadpis2"/>
        <w:numPr>
          <w:ilvl w:val="0"/>
          <w:numId w:val="0"/>
        </w:numPr>
      </w:pPr>
    </w:p>
    <w:p w:rsidR="0081476F" w:rsidRPr="00CB023F" w:rsidRDefault="00F119C9" w:rsidP="001A1A12">
      <w:pPr>
        <w:pStyle w:val="Nadpis2"/>
      </w:pPr>
      <w:r w:rsidRPr="00CB023F">
        <w:t xml:space="preserve"> EHSV vyzýva hlavy štátov, aby na summite EÚ</w:t>
      </w:r>
      <w:r w:rsidR="00D10479" w:rsidRPr="00CB023F">
        <w:t xml:space="preserve"> v </w:t>
      </w:r>
      <w:r w:rsidRPr="00CB023F">
        <w:t>Sofii stanovili jasný záväzok</w:t>
      </w:r>
      <w:r w:rsidR="00D10479" w:rsidRPr="00CB023F">
        <w:t xml:space="preserve"> k </w:t>
      </w:r>
      <w:r w:rsidRPr="00CB023F">
        <w:t>súdržnejšej</w:t>
      </w:r>
      <w:r w:rsidR="00D10479" w:rsidRPr="00CB023F">
        <w:t xml:space="preserve"> a </w:t>
      </w:r>
      <w:r w:rsidRPr="00CB023F">
        <w:t>priamej podpore pre organizácie občianskej spoločnosti na všetkých úrovniach. Mala by sa tiež propagovať priama verejná podpora nezávislých médií.</w:t>
      </w:r>
    </w:p>
    <w:p w:rsidR="00F119C9" w:rsidRPr="00CB023F" w:rsidRDefault="00F119C9" w:rsidP="00CB023F">
      <w:pPr>
        <w:pStyle w:val="Nadpis2"/>
        <w:numPr>
          <w:ilvl w:val="0"/>
          <w:numId w:val="0"/>
        </w:numPr>
      </w:pPr>
    </w:p>
    <w:p w:rsidR="0081476F" w:rsidRPr="00CB023F" w:rsidRDefault="00095C8B" w:rsidP="0081476F">
      <w:pPr>
        <w:pStyle w:val="Nadpis2"/>
      </w:pPr>
      <w:r w:rsidRPr="00CB023F">
        <w:rPr>
          <w:color w:val="000000"/>
        </w:rPr>
        <w:t>EHSV vyzýva hlavy štátov, aby na summite EÚ</w:t>
      </w:r>
      <w:r w:rsidR="00D10479" w:rsidRPr="00CB023F">
        <w:rPr>
          <w:color w:val="000000"/>
        </w:rPr>
        <w:t xml:space="preserve"> v </w:t>
      </w:r>
      <w:r w:rsidRPr="00CB023F">
        <w:rPr>
          <w:color w:val="000000"/>
        </w:rPr>
        <w:t>Sofii</w:t>
      </w:r>
      <w:r w:rsidRPr="00CB023F">
        <w:t xml:space="preserve"> </w:t>
      </w:r>
      <w:r w:rsidRPr="00CB023F">
        <w:rPr>
          <w:color w:val="030303"/>
        </w:rPr>
        <w:t>zohrávali proaktívnu úlohu</w:t>
      </w:r>
      <w:r w:rsidR="00D10479" w:rsidRPr="00CB023F">
        <w:rPr>
          <w:color w:val="030303"/>
        </w:rPr>
        <w:t xml:space="preserve"> v </w:t>
      </w:r>
      <w:r w:rsidRPr="00CB023F">
        <w:rPr>
          <w:color w:val="030303"/>
        </w:rPr>
        <w:t>bilaterálnych sporoch prostredníctvom podpory cielenej spolupráce</w:t>
      </w:r>
      <w:r w:rsidR="00D10479" w:rsidRPr="00CB023F">
        <w:rPr>
          <w:color w:val="030303"/>
        </w:rPr>
        <w:t xml:space="preserve"> s </w:t>
      </w:r>
      <w:r w:rsidRPr="00CB023F">
        <w:rPr>
          <w:color w:val="030303"/>
        </w:rPr>
        <w:t>OBSE</w:t>
      </w:r>
      <w:r w:rsidR="00D10479" w:rsidRPr="00CB023F">
        <w:rPr>
          <w:color w:val="030303"/>
        </w:rPr>
        <w:t xml:space="preserve"> a </w:t>
      </w:r>
      <w:r w:rsidRPr="00CB023F">
        <w:rPr>
          <w:color w:val="030303"/>
        </w:rPr>
        <w:t>Radou Európy</w:t>
      </w:r>
      <w:r w:rsidR="00D10479" w:rsidRPr="00CB023F">
        <w:rPr>
          <w:color w:val="030303"/>
        </w:rPr>
        <w:t xml:space="preserve"> a </w:t>
      </w:r>
      <w:r w:rsidRPr="00CB023F">
        <w:rPr>
          <w:color w:val="030303"/>
        </w:rPr>
        <w:t>úlohy občianskej spoločnosti pri riešení takýchto bilaterálnych sporov.</w:t>
      </w:r>
    </w:p>
    <w:p w:rsidR="0081476F" w:rsidRPr="00CB023F" w:rsidRDefault="0081476F" w:rsidP="00CB023F">
      <w:pPr>
        <w:pStyle w:val="Nadpis2"/>
        <w:numPr>
          <w:ilvl w:val="0"/>
          <w:numId w:val="0"/>
        </w:numPr>
      </w:pPr>
    </w:p>
    <w:p w:rsidR="00B71AEC" w:rsidRPr="00CB023F" w:rsidRDefault="00B71AEC" w:rsidP="00B71AEC">
      <w:pPr>
        <w:pStyle w:val="Nadpis2"/>
      </w:pPr>
      <w:r w:rsidRPr="00CB023F">
        <w:t>EHSV je tiež presvedčený, že efektívne rozšírenie Európskej únie</w:t>
      </w:r>
      <w:r w:rsidR="00D10479" w:rsidRPr="00CB023F">
        <w:t xml:space="preserve"> a </w:t>
      </w:r>
      <w:r w:rsidRPr="00CB023F">
        <w:t>presadzovanie jej hodnôt</w:t>
      </w:r>
      <w:r w:rsidR="00D10479" w:rsidRPr="00CB023F">
        <w:t xml:space="preserve"> v </w:t>
      </w:r>
      <w:r w:rsidRPr="00CB023F">
        <w:t>krajinách západného Balkánu zaistí bezpečnosť</w:t>
      </w:r>
      <w:r w:rsidR="00D10479" w:rsidRPr="00CB023F">
        <w:t xml:space="preserve"> a </w:t>
      </w:r>
      <w:r w:rsidRPr="00CB023F">
        <w:t>stabilitu, zvýši sociálny</w:t>
      </w:r>
      <w:r w:rsidR="00D10479" w:rsidRPr="00CB023F">
        <w:t xml:space="preserve"> a </w:t>
      </w:r>
      <w:r w:rsidRPr="00CB023F">
        <w:t>hospodársky rozvoj</w:t>
      </w:r>
      <w:r w:rsidR="00D10479" w:rsidRPr="00CB023F">
        <w:t xml:space="preserve"> a </w:t>
      </w:r>
      <w:r w:rsidRPr="00CB023F">
        <w:t>prosperitu, upevní demokraciu</w:t>
      </w:r>
      <w:r w:rsidR="00D10479" w:rsidRPr="00CB023F">
        <w:t xml:space="preserve"> a </w:t>
      </w:r>
      <w:r w:rsidRPr="00CB023F">
        <w:t>právny štát, uľahčí voľný pohyb osôb</w:t>
      </w:r>
      <w:r w:rsidR="00D10479" w:rsidRPr="00CB023F">
        <w:t xml:space="preserve"> a </w:t>
      </w:r>
      <w:r w:rsidRPr="00CB023F">
        <w:t>tovaru, stimuluje investičnú politiku</w:t>
      </w:r>
      <w:r w:rsidR="00D10479" w:rsidRPr="00CB023F">
        <w:t xml:space="preserve"> a </w:t>
      </w:r>
      <w:r w:rsidRPr="00CB023F">
        <w:t>podporí mobilitu.</w:t>
      </w:r>
    </w:p>
    <w:p w:rsidR="00B71AEC" w:rsidRPr="00CB023F" w:rsidRDefault="00B71AEC" w:rsidP="00E67A13">
      <w:pPr>
        <w:pStyle w:val="Nadpis2"/>
        <w:numPr>
          <w:ilvl w:val="0"/>
          <w:numId w:val="0"/>
        </w:numPr>
        <w:ind w:left="567" w:hanging="567"/>
      </w:pPr>
    </w:p>
    <w:p w:rsidR="00D10479" w:rsidRPr="00CB023F" w:rsidRDefault="00B71AEC" w:rsidP="00B71AEC">
      <w:pPr>
        <w:pStyle w:val="Nadpis2"/>
      </w:pPr>
      <w:r w:rsidRPr="00CB023F">
        <w:lastRenderedPageBreak/>
        <w:t>EHSV sa domnieva, že dodržiavanie zásad právneho štátu</w:t>
      </w:r>
      <w:r w:rsidR="00D10479" w:rsidRPr="00CB023F">
        <w:t xml:space="preserve"> a </w:t>
      </w:r>
      <w:r w:rsidRPr="00CB023F">
        <w:t>práv menšín je nevyhnutným predpokladom pre demokratický, hospodársky</w:t>
      </w:r>
      <w:r w:rsidR="00D10479" w:rsidRPr="00CB023F">
        <w:t xml:space="preserve"> a </w:t>
      </w:r>
      <w:r w:rsidRPr="00CB023F">
        <w:t>sociálny rozvoj krajín západného Balkánu</w:t>
      </w:r>
      <w:r w:rsidR="00D10479" w:rsidRPr="00CB023F">
        <w:t>.</w:t>
      </w:r>
    </w:p>
    <w:p w:rsidR="00B71AEC" w:rsidRPr="00CB023F" w:rsidRDefault="00B71AEC" w:rsidP="00E67A13">
      <w:pPr>
        <w:pStyle w:val="Nadpis2"/>
        <w:numPr>
          <w:ilvl w:val="0"/>
          <w:numId w:val="0"/>
        </w:numPr>
        <w:ind w:left="567" w:hanging="567"/>
      </w:pPr>
    </w:p>
    <w:p w:rsidR="00B71AEC" w:rsidRPr="00CB023F" w:rsidRDefault="00B71AEC" w:rsidP="00B71AEC">
      <w:pPr>
        <w:pStyle w:val="Nadpis2"/>
      </w:pPr>
      <w:r w:rsidRPr="00CB023F">
        <w:t>EHSV sa tiež nazdáva, že úloha vzdelávania</w:t>
      </w:r>
      <w:r w:rsidR="00D10479" w:rsidRPr="00CB023F">
        <w:t xml:space="preserve"> a </w:t>
      </w:r>
      <w:r w:rsidRPr="00CB023F">
        <w:t>slobodných</w:t>
      </w:r>
      <w:r w:rsidR="00D10479" w:rsidRPr="00CB023F">
        <w:t xml:space="preserve"> a </w:t>
      </w:r>
      <w:r w:rsidRPr="00CB023F">
        <w:t>nezávislých médií je veľmi dôležitá, ak sa majú prekonať spory</w:t>
      </w:r>
      <w:r w:rsidR="00D10479" w:rsidRPr="00CB023F">
        <w:t xml:space="preserve"> z </w:t>
      </w:r>
      <w:r w:rsidRPr="00CB023F">
        <w:t>minulosti</w:t>
      </w:r>
      <w:r w:rsidR="00D10479" w:rsidRPr="00CB023F">
        <w:t xml:space="preserve"> a </w:t>
      </w:r>
      <w:r w:rsidRPr="00CB023F">
        <w:t>posilniť demokratické hodnoty.</w:t>
      </w:r>
    </w:p>
    <w:p w:rsidR="00B71AEC" w:rsidRPr="00CB023F" w:rsidRDefault="00B71AEC" w:rsidP="00E67A13">
      <w:pPr>
        <w:pStyle w:val="Nadpis2"/>
        <w:numPr>
          <w:ilvl w:val="0"/>
          <w:numId w:val="0"/>
        </w:numPr>
        <w:ind w:left="567" w:hanging="567"/>
      </w:pPr>
    </w:p>
    <w:p w:rsidR="00B71AEC" w:rsidRPr="00CB023F" w:rsidRDefault="00B71AEC" w:rsidP="00B71AEC">
      <w:pPr>
        <w:pStyle w:val="Nadpis2"/>
      </w:pPr>
      <w:r w:rsidRPr="00CB023F">
        <w:t>EHSV konštatuje, že proces pristúpenia</w:t>
      </w:r>
      <w:r w:rsidR="00D10479" w:rsidRPr="00CB023F">
        <w:t xml:space="preserve"> k </w:t>
      </w:r>
      <w:r w:rsidRPr="00CB023F">
        <w:t>EÚ ostáva kľúčovou motiváciou pre reformy</w:t>
      </w:r>
      <w:r w:rsidR="00D10479" w:rsidRPr="00CB023F">
        <w:t xml:space="preserve"> v </w:t>
      </w:r>
      <w:r w:rsidRPr="00CB023F">
        <w:t>krajinách západného Balkánu. EHSV poukazuje na to, že sa nevenuje dostatočná pozornosť hospodárskym</w:t>
      </w:r>
      <w:r w:rsidR="00D10479" w:rsidRPr="00CB023F">
        <w:t xml:space="preserve"> a </w:t>
      </w:r>
      <w:r w:rsidRPr="00CB023F">
        <w:t>sociálnym účinkom vykonaných reforiem, pretože medzi členmi EÚ</w:t>
      </w:r>
      <w:r w:rsidR="00D10479" w:rsidRPr="00CB023F">
        <w:t xml:space="preserve"> a </w:t>
      </w:r>
      <w:r w:rsidRPr="00CB023F">
        <w:t>kandidátskymi krajinami existujú veľké rozdiely, pokiaľ ide</w:t>
      </w:r>
      <w:r w:rsidR="00D10479" w:rsidRPr="00CB023F">
        <w:t xml:space="preserve"> o </w:t>
      </w:r>
      <w:r w:rsidRPr="00CB023F">
        <w:t>úroveň hospodárskeho</w:t>
      </w:r>
      <w:r w:rsidR="00D10479" w:rsidRPr="00CB023F">
        <w:t xml:space="preserve"> a </w:t>
      </w:r>
      <w:r w:rsidRPr="00CB023F">
        <w:t>sociálneho zabezpečenia občanov. EHSV preto odporúča, aby sa pri posudzovaní plnenia kritérií na členstvo</w:t>
      </w:r>
      <w:r w:rsidR="00D10479" w:rsidRPr="00CB023F">
        <w:t xml:space="preserve"> v </w:t>
      </w:r>
      <w:r w:rsidRPr="00CB023F">
        <w:t>EÚ hodnotila aj sociálna, hospodárska</w:t>
      </w:r>
      <w:r w:rsidR="00D10479" w:rsidRPr="00CB023F">
        <w:t xml:space="preserve"> a </w:t>
      </w:r>
      <w:r w:rsidRPr="00CB023F">
        <w:t>územná súdržnosť.</w:t>
      </w:r>
    </w:p>
    <w:p w:rsidR="00B71AEC" w:rsidRPr="00CB023F" w:rsidRDefault="00B71AEC" w:rsidP="00E67A13">
      <w:pPr>
        <w:pStyle w:val="Nadpis2"/>
        <w:numPr>
          <w:ilvl w:val="0"/>
          <w:numId w:val="0"/>
        </w:numPr>
        <w:ind w:left="567" w:hanging="567"/>
      </w:pPr>
    </w:p>
    <w:p w:rsidR="00B71AEC" w:rsidRPr="00CB023F" w:rsidRDefault="00B71AEC" w:rsidP="00B71AEC">
      <w:pPr>
        <w:pStyle w:val="Nadpis2"/>
      </w:pPr>
      <w:r w:rsidRPr="00CB023F">
        <w:t>Podľa EHSV otázky týkajúce sa infraštruktúry, dopravy</w:t>
      </w:r>
      <w:r w:rsidR="00D10479" w:rsidRPr="00CB023F">
        <w:t xml:space="preserve"> a </w:t>
      </w:r>
      <w:r w:rsidRPr="00CB023F">
        <w:t>energetiky musia patriť medzi hlavné priority</w:t>
      </w:r>
      <w:r w:rsidR="00D10479" w:rsidRPr="00CB023F">
        <w:t xml:space="preserve"> v </w:t>
      </w:r>
      <w:r w:rsidRPr="00CB023F">
        <w:t>rokovaniach</w:t>
      </w:r>
      <w:r w:rsidR="00D10479" w:rsidRPr="00CB023F">
        <w:t xml:space="preserve"> s </w:t>
      </w:r>
      <w:r w:rsidRPr="00CB023F">
        <w:t>krajinami západného Balkánu. EHSV sa tiež domnieva, že</w:t>
      </w:r>
      <w:r w:rsidR="00D10479" w:rsidRPr="00CB023F">
        <w:t xml:space="preserve"> z </w:t>
      </w:r>
      <w:r w:rsidRPr="00CB023F">
        <w:t>vytvorenia digitálnej spoločnosti</w:t>
      </w:r>
      <w:r w:rsidR="00D10479" w:rsidRPr="00CB023F">
        <w:t xml:space="preserve"> a </w:t>
      </w:r>
      <w:r w:rsidRPr="00CB023F">
        <w:t>rozvoja digitálnych zručností vo všetkých krajinách západného Balkánu by mal profitovať verejný ako aj súkromný sektor. EÚ môže</w:t>
      </w:r>
      <w:r w:rsidR="00D10479" w:rsidRPr="00CB023F">
        <w:t xml:space="preserve"> a </w:t>
      </w:r>
      <w:r w:rsidRPr="00CB023F">
        <w:t>mala by prispieť</w:t>
      </w:r>
      <w:r w:rsidR="00D10479" w:rsidRPr="00CB023F">
        <w:t xml:space="preserve"> k </w:t>
      </w:r>
      <w:r w:rsidRPr="00CB023F">
        <w:t>zlepšeniu infraštruktúry</w:t>
      </w:r>
      <w:r w:rsidR="00D10479" w:rsidRPr="00CB023F">
        <w:t xml:space="preserve"> a </w:t>
      </w:r>
      <w:r w:rsidRPr="00CB023F">
        <w:t>zavádzania širokopásmovej siete</w:t>
      </w:r>
      <w:r w:rsidR="00D10479" w:rsidRPr="00CB023F">
        <w:t xml:space="preserve"> v </w:t>
      </w:r>
      <w:r w:rsidRPr="00CB023F">
        <w:t>týchto krajinách, ktorá je</w:t>
      </w:r>
      <w:r w:rsidR="00D10479" w:rsidRPr="00CB023F">
        <w:t xml:space="preserve"> v </w:t>
      </w:r>
      <w:r w:rsidRPr="00CB023F">
        <w:t>niektorých prípadoch hlboko pod priemerom EÚ.</w:t>
      </w:r>
    </w:p>
    <w:p w:rsidR="00B71AEC" w:rsidRPr="00CB023F" w:rsidRDefault="00B71AEC">
      <w:pPr>
        <w:pStyle w:val="Nadpis2"/>
        <w:numPr>
          <w:ilvl w:val="0"/>
          <w:numId w:val="0"/>
        </w:numPr>
      </w:pPr>
    </w:p>
    <w:p w:rsidR="00BA300D" w:rsidRPr="00CB023F" w:rsidRDefault="00BA300D" w:rsidP="00F05719">
      <w:pPr>
        <w:pStyle w:val="Nadpis2"/>
      </w:pPr>
      <w:r w:rsidRPr="00CB023F">
        <w:t>EHSV navrhuje, aby EÚ zvážila zaradenie fungujúceho sociálneho</w:t>
      </w:r>
      <w:r w:rsidR="00D10479" w:rsidRPr="00CB023F">
        <w:t xml:space="preserve"> a </w:t>
      </w:r>
      <w:r w:rsidRPr="00CB023F">
        <w:t>občianskeho dialógu na národnej úrovni ako jedného</w:t>
      </w:r>
      <w:r w:rsidR="00D10479" w:rsidRPr="00CB023F">
        <w:t xml:space="preserve"> z </w:t>
      </w:r>
      <w:r w:rsidRPr="00CB023F">
        <w:t>kritérií členstva</w:t>
      </w:r>
      <w:r w:rsidR="00D10479" w:rsidRPr="00CB023F">
        <w:t xml:space="preserve"> v </w:t>
      </w:r>
      <w:r w:rsidRPr="00CB023F">
        <w:t>EÚ.</w:t>
      </w:r>
    </w:p>
    <w:p w:rsidR="00B71AEC" w:rsidRPr="00CB023F" w:rsidRDefault="00B71AEC" w:rsidP="007E4D98">
      <w:pPr>
        <w:pStyle w:val="Nadpis2"/>
        <w:numPr>
          <w:ilvl w:val="0"/>
          <w:numId w:val="0"/>
        </w:numPr>
      </w:pPr>
    </w:p>
    <w:p w:rsidR="00D10479" w:rsidRPr="00CB023F" w:rsidRDefault="00B71AEC" w:rsidP="001A1A12">
      <w:pPr>
        <w:pStyle w:val="Nadpis2"/>
      </w:pPr>
      <w:r w:rsidRPr="00CB023F">
        <w:t>EÚ by mala vypracovať osobitný plán rokovaní</w:t>
      </w:r>
      <w:r w:rsidR="00D10479" w:rsidRPr="00CB023F">
        <w:t xml:space="preserve"> s </w:t>
      </w:r>
      <w:r w:rsidRPr="00CB023F">
        <w:t>krajinami západného Balkánu</w:t>
      </w:r>
      <w:r w:rsidR="00D10479" w:rsidRPr="00CB023F">
        <w:t xml:space="preserve"> s </w:t>
      </w:r>
      <w:r w:rsidRPr="00CB023F">
        <w:t>presným harmonogramom</w:t>
      </w:r>
      <w:r w:rsidR="00D10479" w:rsidRPr="00CB023F">
        <w:t xml:space="preserve"> a </w:t>
      </w:r>
      <w:r w:rsidRPr="00CB023F">
        <w:t>konkrétnymi záväzkami pre jednotlivé krajiny západného Balkánu</w:t>
      </w:r>
      <w:r w:rsidR="00D10479" w:rsidRPr="00CB023F">
        <w:t>.</w:t>
      </w:r>
    </w:p>
    <w:p w:rsidR="00022139" w:rsidRPr="00CB023F" w:rsidRDefault="00022139" w:rsidP="001A1A12"/>
    <w:p w:rsidR="00D10479" w:rsidRPr="00CB023F" w:rsidRDefault="00B71AEC" w:rsidP="00E46E48">
      <w:pPr>
        <w:pStyle w:val="Nadpis2"/>
      </w:pPr>
      <w:r w:rsidRPr="00CB023F">
        <w:t>EHSV nabáda Komisiu, aby zahrnula rešpektovanie práv menšín</w:t>
      </w:r>
      <w:r w:rsidR="00D10479" w:rsidRPr="00CB023F">
        <w:t xml:space="preserve"> a </w:t>
      </w:r>
      <w:r w:rsidRPr="00CB023F">
        <w:t>rodovej rovnosti medzi hlavné priority</w:t>
      </w:r>
      <w:r w:rsidR="00D10479" w:rsidRPr="00CB023F">
        <w:t xml:space="preserve"> v </w:t>
      </w:r>
      <w:r w:rsidRPr="00CB023F">
        <w:t>prístupových rokovaniach EÚ</w:t>
      </w:r>
      <w:r w:rsidR="00D10479" w:rsidRPr="00CB023F">
        <w:t xml:space="preserve"> s </w:t>
      </w:r>
      <w:r w:rsidRPr="00CB023F">
        <w:t>krajinami západného Balkánu</w:t>
      </w:r>
      <w:r w:rsidR="00D10479" w:rsidRPr="00CB023F">
        <w:t>.</w:t>
      </w:r>
    </w:p>
    <w:p w:rsidR="002B094A" w:rsidRPr="00CB023F" w:rsidRDefault="002B094A" w:rsidP="00BD3B14">
      <w:pPr>
        <w:pStyle w:val="Nadpis2"/>
        <w:numPr>
          <w:ilvl w:val="0"/>
          <w:numId w:val="0"/>
        </w:numPr>
      </w:pPr>
    </w:p>
    <w:p w:rsidR="00D10479" w:rsidRPr="00CB023F" w:rsidRDefault="00C948D5" w:rsidP="00C948D5">
      <w:pPr>
        <w:pStyle w:val="Nadpis2"/>
      </w:pPr>
      <w:r w:rsidRPr="00CB023F">
        <w:t>EHSV víta novú stratégiu Komisie pre západný Balkán</w:t>
      </w:r>
      <w:r w:rsidR="00D10479" w:rsidRPr="00CB023F">
        <w:t xml:space="preserve"> s </w:t>
      </w:r>
      <w:r w:rsidRPr="00CB023F">
        <w:t xml:space="preserve">názvom </w:t>
      </w:r>
      <w:r w:rsidRPr="00CB023F">
        <w:rPr>
          <w:i/>
        </w:rPr>
        <w:t>Dôveryhodná perspektíva rozšírenia pre krajiny západného Balkánu</w:t>
      </w:r>
      <w:r w:rsidR="00D10479" w:rsidRPr="00CB023F">
        <w:rPr>
          <w:i/>
        </w:rPr>
        <w:t xml:space="preserve"> a </w:t>
      </w:r>
      <w:r w:rsidRPr="00CB023F">
        <w:rPr>
          <w:i/>
        </w:rPr>
        <w:t>väčšia angažovanosť EÚ</w:t>
      </w:r>
      <w:r w:rsidR="00D10479" w:rsidRPr="00CB023F">
        <w:rPr>
          <w:i/>
        </w:rPr>
        <w:t xml:space="preserve"> v </w:t>
      </w:r>
      <w:r w:rsidRPr="00CB023F">
        <w:rPr>
          <w:i/>
        </w:rPr>
        <w:t>tejto oblasti</w:t>
      </w:r>
      <w:r w:rsidRPr="00CB023F">
        <w:rPr>
          <w:rStyle w:val="Odkaznapoznmkupodiarou"/>
        </w:rPr>
        <w:footnoteReference w:id="4"/>
      </w:r>
      <w:r w:rsidRPr="00CB023F">
        <w:t>, ktorá bola zverejnená 6</w:t>
      </w:r>
      <w:r w:rsidR="00D10479" w:rsidRPr="00CB023F">
        <w:t>. februára</w:t>
      </w:r>
      <w:r w:rsidRPr="00CB023F">
        <w:t xml:space="preserve"> 2018,</w:t>
      </w:r>
      <w:r w:rsidR="00D10479" w:rsidRPr="00CB023F">
        <w:t xml:space="preserve"> a </w:t>
      </w:r>
      <w:r w:rsidRPr="00CB023F">
        <w:t>jej šesť hlavných iniciatív, ktoré pokrývajú otázky počnúc posilnením právneho štátu, posilnením spolupráce</w:t>
      </w:r>
      <w:r w:rsidR="00D10479" w:rsidRPr="00CB023F">
        <w:t xml:space="preserve"> v </w:t>
      </w:r>
      <w:r w:rsidRPr="00CB023F">
        <w:t>oblasti bezpečnosti</w:t>
      </w:r>
      <w:r w:rsidR="00D10479" w:rsidRPr="00CB023F">
        <w:t xml:space="preserve"> a </w:t>
      </w:r>
      <w:r w:rsidRPr="00CB023F">
        <w:t>migrácie až po spoločné vyšetrovacie tímy európskej pohraničnej</w:t>
      </w:r>
      <w:r w:rsidR="00D10479" w:rsidRPr="00CB023F">
        <w:t xml:space="preserve"> a </w:t>
      </w:r>
      <w:r w:rsidRPr="00CB023F">
        <w:t>pobrežnej stráže, rozširovanie energetickej únie EÚ smerom na západný Balkán, zníženie poplatkov za roaming</w:t>
      </w:r>
      <w:r w:rsidR="00D10479" w:rsidRPr="00CB023F">
        <w:t xml:space="preserve"> a </w:t>
      </w:r>
      <w:r w:rsidRPr="00CB023F">
        <w:t>zavedenie širokopásmového pripojenia</w:t>
      </w:r>
      <w:r w:rsidR="00D10479" w:rsidRPr="00CB023F">
        <w:t xml:space="preserve"> v </w:t>
      </w:r>
      <w:r w:rsidRPr="00CB023F">
        <w:t>tomto regióne</w:t>
      </w:r>
      <w:r w:rsidR="00D10479" w:rsidRPr="00CB023F">
        <w:t>.</w:t>
      </w:r>
    </w:p>
    <w:p w:rsidR="00C948D5" w:rsidRPr="00CB023F" w:rsidRDefault="00C948D5" w:rsidP="001A1A12"/>
    <w:p w:rsidR="00C948D5" w:rsidRPr="00CB023F" w:rsidRDefault="00C948D5" w:rsidP="00C948D5">
      <w:pPr>
        <w:pStyle w:val="Nadpis2"/>
      </w:pPr>
      <w:r w:rsidRPr="00CB023F">
        <w:t>EHSV vyhlasuje, že je pripravený spolupracovať</w:t>
      </w:r>
      <w:r w:rsidR="00D10479" w:rsidRPr="00CB023F">
        <w:t xml:space="preserve"> s </w:t>
      </w:r>
      <w:r w:rsidRPr="00CB023F">
        <w:t>občianskou spoločnosťou</w:t>
      </w:r>
      <w:r w:rsidR="00D10479" w:rsidRPr="00CB023F">
        <w:t xml:space="preserve"> z </w:t>
      </w:r>
      <w:r w:rsidRPr="00CB023F">
        <w:t>krajín západného Balkánu</w:t>
      </w:r>
      <w:r w:rsidR="00D10479" w:rsidRPr="00CB023F">
        <w:t xml:space="preserve"> a </w:t>
      </w:r>
      <w:r w:rsidRPr="00CB023F">
        <w:t>prispieť tak</w:t>
      </w:r>
      <w:r w:rsidR="00D10479" w:rsidRPr="00CB023F">
        <w:t xml:space="preserve"> k </w:t>
      </w:r>
      <w:r w:rsidRPr="00CB023F">
        <w:t>tomu, aby sa urobili konkrétne kroky</w:t>
      </w:r>
      <w:r w:rsidR="00D10479" w:rsidRPr="00CB023F">
        <w:t xml:space="preserve"> v </w:t>
      </w:r>
      <w:r w:rsidRPr="00CB023F">
        <w:t>oblasti právneho štátu, bezpečnosti</w:t>
      </w:r>
      <w:r w:rsidR="00D10479" w:rsidRPr="00CB023F">
        <w:t xml:space="preserve"> a </w:t>
      </w:r>
      <w:r w:rsidRPr="00CB023F">
        <w:t>migrácie, sociálno-ekonomického rozvoja, prepojenia, digitálnej agendy</w:t>
      </w:r>
      <w:r w:rsidR="00D10479" w:rsidRPr="00CB023F">
        <w:t xml:space="preserve"> a </w:t>
      </w:r>
      <w:r w:rsidRPr="00CB023F">
        <w:t>zmierenia</w:t>
      </w:r>
      <w:r w:rsidR="00D10479" w:rsidRPr="00CB023F">
        <w:t xml:space="preserve"> a </w:t>
      </w:r>
      <w:r w:rsidRPr="00CB023F">
        <w:t>dobrých susedských vzťahov, ako sa ustanovuje</w:t>
      </w:r>
      <w:r w:rsidR="00D10479" w:rsidRPr="00CB023F">
        <w:t xml:space="preserve"> v </w:t>
      </w:r>
      <w:r w:rsidRPr="00CB023F">
        <w:t>akčnom pláne na podporu transformácie krajín západného Balkánu na roky 2018 – 2020.</w:t>
      </w:r>
    </w:p>
    <w:p w:rsidR="00C948D5" w:rsidRPr="00CB023F" w:rsidRDefault="00C948D5" w:rsidP="001A1A12"/>
    <w:p w:rsidR="002B094A" w:rsidRPr="00CB023F" w:rsidRDefault="00B71AEC" w:rsidP="002B094A">
      <w:pPr>
        <w:pStyle w:val="Nadpis2"/>
      </w:pPr>
      <w:r w:rsidRPr="00CB023F">
        <w:lastRenderedPageBreak/>
        <w:t>EHSV je presvedčený, že Komisia by mohla vytvoriť konkrétne programy, ktoré by krajinám západného Balkánu umožnili dosiahnuť rýchlejšiu sociálnu konvergenciu. Nerovnomerný</w:t>
      </w:r>
      <w:r w:rsidR="00D10479" w:rsidRPr="00CB023F">
        <w:t xml:space="preserve"> a </w:t>
      </w:r>
      <w:r w:rsidRPr="00CB023F">
        <w:t>pomalý pokrok pri riešení týchto problémov je jednoznačne dôležitým faktorom, ktorý prispieva</w:t>
      </w:r>
      <w:r w:rsidR="00D10479" w:rsidRPr="00CB023F">
        <w:t xml:space="preserve"> k </w:t>
      </w:r>
      <w:r w:rsidRPr="00CB023F">
        <w:t>pomalému postupu pri ich integrácii do EÚ vo všeobecnosti. Je naliehavo potrebný nový impulz pre europeizáciu.</w:t>
      </w:r>
    </w:p>
    <w:p w:rsidR="002B094A" w:rsidRPr="00CB023F" w:rsidRDefault="002B094A" w:rsidP="002B094A"/>
    <w:p w:rsidR="004C0DA8" w:rsidRPr="00CB023F" w:rsidRDefault="002B094A" w:rsidP="00E2345C">
      <w:pPr>
        <w:pStyle w:val="Nadpis2"/>
      </w:pPr>
      <w:r w:rsidRPr="00CB023F">
        <w:t>Sociálni partneri</w:t>
      </w:r>
      <w:r w:rsidR="00D10479" w:rsidRPr="00CB023F">
        <w:t xml:space="preserve"> a </w:t>
      </w:r>
      <w:r w:rsidRPr="00CB023F">
        <w:t>iné organizácie občianskej spoločnosti na úrovni EÚ aj na vnútroštátnej úrovni musia byť zmysluplne zapojené do celého procesu európskej integrácie krajín západného Balkánu. Je potrebné posilniť kapacity organizácií občianskej spoločnosti prostredníctvom technickej</w:t>
      </w:r>
      <w:r w:rsidR="00D10479" w:rsidRPr="00CB023F">
        <w:t xml:space="preserve"> a </w:t>
      </w:r>
      <w:r w:rsidRPr="00CB023F">
        <w:t>hospodárskej podpory tým, že sa im uľahčí prístup</w:t>
      </w:r>
      <w:r w:rsidR="00D10479" w:rsidRPr="00CB023F">
        <w:t xml:space="preserve"> k </w:t>
      </w:r>
      <w:r w:rsidRPr="00CB023F">
        <w:t>európskym finančným zdrojom (Komisia, Európska investičná banka, Európska banka pre obnovu</w:t>
      </w:r>
      <w:r w:rsidR="00D10479" w:rsidRPr="00CB023F">
        <w:t xml:space="preserve"> a </w:t>
      </w:r>
      <w:r w:rsidRPr="00CB023F">
        <w:t>rozvoj</w:t>
      </w:r>
      <w:r w:rsidR="00D10479" w:rsidRPr="00CB023F">
        <w:t xml:space="preserve"> a </w:t>
      </w:r>
      <w:r w:rsidRPr="00CB023F">
        <w:t>pod.)</w:t>
      </w:r>
      <w:r w:rsidR="00D10479" w:rsidRPr="00CB023F">
        <w:t xml:space="preserve"> a </w:t>
      </w:r>
      <w:r w:rsidRPr="00CB023F">
        <w:t>budú včas</w:t>
      </w:r>
      <w:r w:rsidR="00D10479" w:rsidRPr="00CB023F">
        <w:t xml:space="preserve"> a </w:t>
      </w:r>
      <w:r w:rsidRPr="00CB023F">
        <w:t>podrobne informované</w:t>
      </w:r>
      <w:r w:rsidR="00D10479" w:rsidRPr="00CB023F">
        <w:t xml:space="preserve"> o </w:t>
      </w:r>
      <w:r w:rsidRPr="00CB023F">
        <w:t>priebehu prístupových rokovaní.</w:t>
      </w:r>
    </w:p>
    <w:p w:rsidR="004C0DA8" w:rsidRPr="00CB023F" w:rsidRDefault="004C0DA8" w:rsidP="001A1A12">
      <w:pPr>
        <w:pStyle w:val="Nadpis2"/>
        <w:numPr>
          <w:ilvl w:val="0"/>
          <w:numId w:val="0"/>
        </w:numPr>
        <w:ind w:left="567"/>
      </w:pPr>
    </w:p>
    <w:p w:rsidR="002B094A" w:rsidRPr="00CB023F" w:rsidRDefault="004C0DA8" w:rsidP="002B094A">
      <w:pPr>
        <w:pStyle w:val="Nadpis2"/>
      </w:pPr>
      <w:r w:rsidRPr="00CB023F">
        <w:t>EHSV povzbudzuje sociálnych partnerov</w:t>
      </w:r>
      <w:r w:rsidR="00D10479" w:rsidRPr="00CB023F">
        <w:t xml:space="preserve"> a </w:t>
      </w:r>
      <w:r w:rsidRPr="00CB023F">
        <w:t>ostatné organizácie občianskej spoločnosti</w:t>
      </w:r>
      <w:r w:rsidR="00D10479" w:rsidRPr="00CB023F">
        <w:t xml:space="preserve"> v </w:t>
      </w:r>
      <w:r w:rsidRPr="00CB023F">
        <w:t>krajinách západného Balkánu, aby počas procesu integrácie do EÚ úzko spolupracovali tak na vnútroštátnej, ako aj na regionálnej úrovni.</w:t>
      </w:r>
    </w:p>
    <w:p w:rsidR="00B71AEC" w:rsidRPr="00CB023F" w:rsidRDefault="00B71AEC" w:rsidP="00B71AEC">
      <w:pPr>
        <w:jc w:val="left"/>
        <w:outlineLvl w:val="1"/>
      </w:pPr>
    </w:p>
    <w:p w:rsidR="00D10479" w:rsidRPr="00CB023F" w:rsidRDefault="00B71AEC" w:rsidP="00B71AEC">
      <w:pPr>
        <w:pStyle w:val="Nadpis1"/>
        <w:keepNext/>
        <w:jc w:val="left"/>
      </w:pPr>
      <w:r w:rsidRPr="00CB023F">
        <w:rPr>
          <w:b/>
        </w:rPr>
        <w:t>Politická situácia</w:t>
      </w:r>
    </w:p>
    <w:p w:rsidR="00B71AEC" w:rsidRPr="00CB023F" w:rsidRDefault="00B71AEC" w:rsidP="00B71AEC">
      <w:pPr>
        <w:keepNext/>
        <w:ind w:left="567"/>
        <w:jc w:val="left"/>
        <w:outlineLvl w:val="0"/>
      </w:pPr>
    </w:p>
    <w:p w:rsidR="005F1FF1" w:rsidRPr="00CB023F" w:rsidRDefault="00190AA2" w:rsidP="00CB023F">
      <w:pPr>
        <w:pStyle w:val="Nadpis2"/>
      </w:pPr>
      <w:r w:rsidRPr="00CB023F">
        <w:t>Západný Balkán je aj naďalej politicky nestabilným regiónom, ale tiež regiónom, ktorý rastie</w:t>
      </w:r>
      <w:r w:rsidR="00D10479" w:rsidRPr="00CB023F">
        <w:t xml:space="preserve"> a </w:t>
      </w:r>
      <w:r w:rsidRPr="00CB023F">
        <w:t>má výrazný potenciál.</w:t>
      </w:r>
    </w:p>
    <w:p w:rsidR="005F1FF1" w:rsidRPr="00CB023F" w:rsidRDefault="005F1FF1" w:rsidP="005F1FF1"/>
    <w:p w:rsidR="009F7FD5" w:rsidRPr="00CB023F" w:rsidRDefault="009F7FD5" w:rsidP="00E2345C">
      <w:pPr>
        <w:pStyle w:val="Nadpis2"/>
      </w:pPr>
      <w:r w:rsidRPr="00CB023F">
        <w:t>EHSV odporúča, aby Komisia, Rada</w:t>
      </w:r>
      <w:r w:rsidR="00D10479" w:rsidRPr="00CB023F">
        <w:t xml:space="preserve"> a </w:t>
      </w:r>
      <w:r w:rsidRPr="00CB023F">
        <w:t>Európsky parlament zintenzívnili komunikačné úsilie</w:t>
      </w:r>
      <w:r w:rsidR="00D10479" w:rsidRPr="00CB023F">
        <w:t xml:space="preserve"> s </w:t>
      </w:r>
      <w:r w:rsidRPr="00CB023F">
        <w:t>cieľom vysvetliť prínosy</w:t>
      </w:r>
      <w:r w:rsidR="00D10479" w:rsidRPr="00CB023F">
        <w:t xml:space="preserve"> a </w:t>
      </w:r>
      <w:r w:rsidRPr="00CB023F">
        <w:t>výzvy politiky rozširovania občanom Európskej únie. Organizácie občianskej spoločnosti by mali byť</w:t>
      </w:r>
      <w:r w:rsidR="00D10479" w:rsidRPr="00CB023F">
        <w:t xml:space="preserve"> v </w:t>
      </w:r>
      <w:r w:rsidRPr="00CB023F">
        <w:t>tomto procese ich blízkym partnerom</w:t>
      </w:r>
      <w:r w:rsidR="00D10479" w:rsidRPr="00CB023F">
        <w:t xml:space="preserve"> a </w:t>
      </w:r>
      <w:r w:rsidRPr="00CB023F">
        <w:t>sprostredkovateľom správ</w:t>
      </w:r>
      <w:r w:rsidRPr="00CB023F">
        <w:rPr>
          <w:rStyle w:val="Odkaznapoznmkupodiarou"/>
          <w:color w:val="000000"/>
        </w:rPr>
        <w:footnoteReference w:id="5"/>
      </w:r>
      <w:r w:rsidRPr="00CB023F">
        <w:t>.</w:t>
      </w:r>
    </w:p>
    <w:p w:rsidR="00B71AEC" w:rsidRPr="00CB023F" w:rsidRDefault="00B71AEC" w:rsidP="00CB023F">
      <w:pPr>
        <w:pStyle w:val="Nadpis2"/>
        <w:numPr>
          <w:ilvl w:val="0"/>
          <w:numId w:val="0"/>
        </w:numPr>
      </w:pPr>
    </w:p>
    <w:p w:rsidR="00B71AEC" w:rsidRPr="00CB023F" w:rsidRDefault="00B71AEC" w:rsidP="00B71AEC">
      <w:pPr>
        <w:pStyle w:val="Nadpis2"/>
      </w:pPr>
      <w:r w:rsidRPr="00CB023F">
        <w:t>Je veľmi dôležité, aby integrácia krajín západného Balkánu zostala</w:t>
      </w:r>
      <w:r w:rsidR="00D10479" w:rsidRPr="00CB023F">
        <w:t xml:space="preserve"> v </w:t>
      </w:r>
      <w:r w:rsidRPr="00CB023F">
        <w:t>budúcnosti aj naďalej prioritou pre EÚ,</w:t>
      </w:r>
      <w:r w:rsidR="00D10479" w:rsidRPr="00CB023F">
        <w:t xml:space="preserve"> a </w:t>
      </w:r>
      <w:r w:rsidRPr="00CB023F">
        <w:t>to nielen počas bulharského predsedníctva,</w:t>
      </w:r>
      <w:r w:rsidR="00D10479" w:rsidRPr="00CB023F">
        <w:t xml:space="preserve"> a </w:t>
      </w:r>
      <w:r w:rsidRPr="00CB023F">
        <w:t>aby EÚ aktívne prispievala</w:t>
      </w:r>
      <w:r w:rsidR="00D10479" w:rsidRPr="00CB023F">
        <w:t xml:space="preserve"> k </w:t>
      </w:r>
      <w:r w:rsidRPr="00CB023F">
        <w:t>stabilite</w:t>
      </w:r>
      <w:r w:rsidR="00D10479" w:rsidRPr="00CB023F">
        <w:t xml:space="preserve"> a </w:t>
      </w:r>
      <w:r w:rsidRPr="00CB023F">
        <w:t>mieru</w:t>
      </w:r>
      <w:r w:rsidR="00D10479" w:rsidRPr="00CB023F">
        <w:t xml:space="preserve"> v </w:t>
      </w:r>
      <w:r w:rsidRPr="00CB023F">
        <w:t>regióne západného Balkánu</w:t>
      </w:r>
      <w:r w:rsidR="00D10479" w:rsidRPr="00CB023F">
        <w:t xml:space="preserve"> a </w:t>
      </w:r>
      <w:r w:rsidRPr="00CB023F">
        <w:t>ponúkala perspektívu členstva</w:t>
      </w:r>
      <w:r w:rsidR="00D10479" w:rsidRPr="00CB023F">
        <w:t xml:space="preserve"> v </w:t>
      </w:r>
      <w:r w:rsidRPr="00CB023F">
        <w:t>euroatlantických organizáciách. Členstvá</w:t>
      </w:r>
      <w:r w:rsidR="00D10479" w:rsidRPr="00CB023F">
        <w:t xml:space="preserve"> v </w:t>
      </w:r>
      <w:r w:rsidRPr="00CB023F">
        <w:t>nich môžu tiež prispieť</w:t>
      </w:r>
      <w:r w:rsidR="00D10479" w:rsidRPr="00CB023F">
        <w:t xml:space="preserve"> k </w:t>
      </w:r>
      <w:r w:rsidRPr="00CB023F">
        <w:t>stabilite</w:t>
      </w:r>
      <w:r w:rsidR="00D10479" w:rsidRPr="00CB023F">
        <w:t xml:space="preserve"> v </w:t>
      </w:r>
      <w:r w:rsidRPr="00CB023F">
        <w:t>regióne tým, že zaručia jeho bezpečnosť</w:t>
      </w:r>
      <w:r w:rsidR="00D10479" w:rsidRPr="00CB023F">
        <w:t xml:space="preserve"> a </w:t>
      </w:r>
      <w:r w:rsidRPr="00CB023F">
        <w:t>prosperitu</w:t>
      </w:r>
      <w:r w:rsidR="00D10479" w:rsidRPr="00CB023F">
        <w:t xml:space="preserve"> a </w:t>
      </w:r>
      <w:r w:rsidRPr="00CB023F">
        <w:t>ponúknu vyhliadku na znovuzjednotenie národov</w:t>
      </w:r>
      <w:r w:rsidR="00D10479" w:rsidRPr="00CB023F">
        <w:t xml:space="preserve"> v </w:t>
      </w:r>
      <w:r w:rsidRPr="00CB023F">
        <w:t>Európe bez hraníc.</w:t>
      </w:r>
    </w:p>
    <w:p w:rsidR="00B71AEC" w:rsidRPr="00CB023F" w:rsidRDefault="00B71AEC" w:rsidP="001A1A12">
      <w:pPr>
        <w:pStyle w:val="Nadpis2"/>
        <w:numPr>
          <w:ilvl w:val="0"/>
          <w:numId w:val="0"/>
        </w:numPr>
      </w:pPr>
    </w:p>
    <w:p w:rsidR="00192FC8" w:rsidRPr="00CB023F" w:rsidRDefault="00B71AEC" w:rsidP="00192FC8">
      <w:pPr>
        <w:pStyle w:val="Nadpis2"/>
      </w:pPr>
      <w:r w:rsidRPr="00CB023F">
        <w:t>EHSV víta ohlásený summit EÚ</w:t>
      </w:r>
      <w:r w:rsidR="00D10479" w:rsidRPr="00CB023F">
        <w:t xml:space="preserve"> v </w:t>
      </w:r>
      <w:r w:rsidRPr="00CB023F">
        <w:t>Sofii za účasti najvyšších predstaviteľov</w:t>
      </w:r>
      <w:r w:rsidR="00D10479" w:rsidRPr="00CB023F">
        <w:t xml:space="preserve"> z </w:t>
      </w:r>
      <w:r w:rsidRPr="00CB023F">
        <w:t>EÚ</w:t>
      </w:r>
      <w:r w:rsidR="00D10479" w:rsidRPr="00CB023F">
        <w:t xml:space="preserve"> a </w:t>
      </w:r>
      <w:r w:rsidRPr="00CB023F">
        <w:t>krajín západného Balkánu, ale domnieva sa, že summit EÚ by mal ponúknuť aktívnejšiu úlohu zástupcom organizácií občianskej spoločnosti na úrovni EÚ.</w:t>
      </w:r>
    </w:p>
    <w:p w:rsidR="00B71AEC" w:rsidRPr="00CB023F" w:rsidRDefault="00B71AEC" w:rsidP="00E67A13">
      <w:pPr>
        <w:ind w:left="567" w:hanging="567"/>
      </w:pPr>
    </w:p>
    <w:p w:rsidR="00B71AEC" w:rsidRPr="00CB023F" w:rsidRDefault="00B71AEC" w:rsidP="00B71AEC">
      <w:pPr>
        <w:pStyle w:val="Nadpis2"/>
      </w:pPr>
      <w:r w:rsidRPr="00CB023F">
        <w:t xml:space="preserve">EHSV víta nedávno oznámený program </w:t>
      </w:r>
      <w:r w:rsidRPr="00CB023F">
        <w:rPr>
          <w:i/>
        </w:rPr>
        <w:t>Berlin Process Plus</w:t>
      </w:r>
      <w:r w:rsidRPr="00CB023F">
        <w:rPr>
          <w:rStyle w:val="Odkaznapoznmkupodiarou"/>
        </w:rPr>
        <w:footnoteReference w:id="6"/>
      </w:r>
      <w:r w:rsidRPr="00CB023F">
        <w:t>, ktorý poskytuje osobitné finančné prostriedky na rozvoj podnikov, odbornú prípravu, infraštruktúru, technológie</w:t>
      </w:r>
      <w:r w:rsidR="00D10479" w:rsidRPr="00CB023F">
        <w:t xml:space="preserve"> a </w:t>
      </w:r>
      <w:r w:rsidRPr="00CB023F">
        <w:t>projekty týkajúce sa okrem iného dopravných spojení medzi najmenej prepojenými krajinami tohto regiónu. Tento „Marshallov plán“ by mal urýchliť vytvorenie colnej únie</w:t>
      </w:r>
      <w:r w:rsidR="00D10479" w:rsidRPr="00CB023F">
        <w:t xml:space="preserve"> a </w:t>
      </w:r>
      <w:r w:rsidRPr="00CB023F">
        <w:t xml:space="preserve">spoločného trhu na </w:t>
      </w:r>
      <w:r w:rsidRPr="00CB023F">
        <w:lastRenderedPageBreak/>
        <w:t>Balkáne. Napriek tomu by táto regionálna spolupráca nemala spôsobiť oneskorenie procesu rozširovania alebo sa považovať za jeho náhradu.</w:t>
      </w:r>
    </w:p>
    <w:p w:rsidR="00B71AEC" w:rsidRPr="00CB023F" w:rsidRDefault="00B71AEC" w:rsidP="00E67A13">
      <w:pPr>
        <w:ind w:left="567" w:hanging="567"/>
      </w:pPr>
    </w:p>
    <w:p w:rsidR="00B7205D" w:rsidRPr="00CB023F" w:rsidRDefault="00B71AEC" w:rsidP="00B7205D">
      <w:pPr>
        <w:pStyle w:val="Nadpis2"/>
      </w:pPr>
      <w:r w:rsidRPr="00CB023F">
        <w:t>EHSV konštatuje, že</w:t>
      </w:r>
      <w:r w:rsidR="00D10479" w:rsidRPr="00CB023F">
        <w:t xml:space="preserve"> v </w:t>
      </w:r>
      <w:r w:rsidRPr="00CB023F">
        <w:t>krajinách západného Balkánu existuje želanie uskutočniť reformy, ktoré prinesú integráciu do Európskej únie,</w:t>
      </w:r>
      <w:r w:rsidR="00D10479" w:rsidRPr="00CB023F">
        <w:t xml:space="preserve"> a </w:t>
      </w:r>
      <w:r w:rsidRPr="00CB023F">
        <w:t>pripravenosť na ne, poukazuje však na skutočnosť, že úspech závisí od toho, do akej miery sú štátne inštitúcie schopné účinne ich zaviesť</w:t>
      </w:r>
      <w:r w:rsidR="00D10479" w:rsidRPr="00CB023F">
        <w:t xml:space="preserve"> a </w:t>
      </w:r>
      <w:r w:rsidRPr="00CB023F">
        <w:t>presadzovať, ako aj od dosiahnutej úrovne prevzatia zodpovednosti za tento proces zo strany organizácií občianskej spoločnosti</w:t>
      </w:r>
      <w:r w:rsidR="00D10479" w:rsidRPr="00CB023F">
        <w:t xml:space="preserve"> a </w:t>
      </w:r>
      <w:r w:rsidRPr="00CB023F">
        <w:t>obyvateľstva vo všeobecnosti. Osobitný plán pre prístupové rokovania EÚ</w:t>
      </w:r>
      <w:r w:rsidR="00D10479" w:rsidRPr="00CB023F">
        <w:t xml:space="preserve"> s </w:t>
      </w:r>
      <w:r w:rsidRPr="00CB023F">
        <w:t>presným harmonogramom</w:t>
      </w:r>
      <w:r w:rsidR="00D10479" w:rsidRPr="00CB023F">
        <w:t xml:space="preserve"> a </w:t>
      </w:r>
      <w:r w:rsidRPr="00CB023F">
        <w:t>konkrétnymi záväzkami pre každú krajinu západného Balkánu by mohol motivovať tieto krajiny</w:t>
      </w:r>
      <w:r w:rsidR="00D10479" w:rsidRPr="00CB023F">
        <w:t xml:space="preserve"> k </w:t>
      </w:r>
      <w:r w:rsidRPr="00CB023F">
        <w:t>rýchlejšiemu vykonaniu potrebných reforiem.</w:t>
      </w:r>
    </w:p>
    <w:p w:rsidR="00B71AEC" w:rsidRPr="00CB023F" w:rsidRDefault="00B71AEC" w:rsidP="00B71AEC">
      <w:pPr>
        <w:ind w:left="567" w:hanging="567"/>
        <w:jc w:val="left"/>
        <w:outlineLvl w:val="1"/>
      </w:pPr>
    </w:p>
    <w:p w:rsidR="00B7205D" w:rsidRPr="00CB023F" w:rsidRDefault="007E4D98" w:rsidP="00FD157F">
      <w:pPr>
        <w:pStyle w:val="Nadpis2"/>
      </w:pPr>
      <w:r w:rsidRPr="00CB023F">
        <w:t>EHSV zdôrazňuje, že nadviazal veľmi dobré kontakty</w:t>
      </w:r>
      <w:r w:rsidR="00D10479" w:rsidRPr="00CB023F">
        <w:t xml:space="preserve"> s </w:t>
      </w:r>
      <w:r w:rsidRPr="00CB023F">
        <w:t>organizáciami občianskej spoločnosti</w:t>
      </w:r>
      <w:r w:rsidR="00D10479" w:rsidRPr="00CB023F">
        <w:t xml:space="preserve"> v </w:t>
      </w:r>
      <w:r w:rsidRPr="00CB023F">
        <w:t>krajinách západného Balkánu</w:t>
      </w:r>
      <w:r w:rsidR="00D10479" w:rsidRPr="00CB023F">
        <w:t xml:space="preserve"> a </w:t>
      </w:r>
      <w:r w:rsidRPr="00CB023F">
        <w:t>že mu je dobre známa situácia</w:t>
      </w:r>
      <w:r w:rsidR="00D10479" w:rsidRPr="00CB023F">
        <w:t xml:space="preserve"> v </w:t>
      </w:r>
      <w:r w:rsidRPr="00CB023F">
        <w:t>týchto krajinách. EHSV je presvedčený, že zmiešané poradné výbory občianskej spoločnosti by sa mali snažiť</w:t>
      </w:r>
      <w:r w:rsidR="00D10479" w:rsidRPr="00CB023F">
        <w:t xml:space="preserve"> o </w:t>
      </w:r>
      <w:r w:rsidRPr="00CB023F">
        <w:t>pokrytie „bielych miest“, teda takých otázok, ktorým sa pri rokovaniach nevenujú iné orgány,</w:t>
      </w:r>
      <w:r w:rsidR="00D10479" w:rsidRPr="00CB023F">
        <w:t xml:space="preserve"> a </w:t>
      </w:r>
      <w:r w:rsidRPr="00CB023F">
        <w:t>zamerať sa na niekoľko vybraných oblastí.</w:t>
      </w:r>
      <w:r w:rsidR="00D10479" w:rsidRPr="00CB023F">
        <w:t xml:space="preserve"> V </w:t>
      </w:r>
      <w:r w:rsidRPr="00CB023F">
        <w:t>tejto súvislosti EHSV žiada zlepšenie výmeny informácií medzi zmiešanými poradnými výbormi</w:t>
      </w:r>
      <w:r w:rsidR="00D10479" w:rsidRPr="00CB023F">
        <w:t xml:space="preserve"> a </w:t>
      </w:r>
      <w:r w:rsidRPr="00CB023F">
        <w:t>Komisiou, Radou</w:t>
      </w:r>
      <w:r w:rsidR="00D10479" w:rsidRPr="00CB023F">
        <w:t xml:space="preserve"> a </w:t>
      </w:r>
      <w:r w:rsidRPr="00CB023F">
        <w:t>Európskym parlamentom. EHSV požaduje posilnenie úlohy týchto zmiešaných poradných výborov občianskej spoločnosti</w:t>
      </w:r>
      <w:r w:rsidRPr="00CB023F">
        <w:rPr>
          <w:rStyle w:val="Odkaznapoznmkupodiarou"/>
          <w:color w:val="000000"/>
        </w:rPr>
        <w:footnoteReference w:id="7"/>
      </w:r>
      <w:r w:rsidRPr="00CB023F">
        <w:t>.</w:t>
      </w:r>
    </w:p>
    <w:p w:rsidR="00B7205D" w:rsidRPr="00CB023F" w:rsidRDefault="00B7205D" w:rsidP="001A1A12">
      <w:pPr>
        <w:pStyle w:val="Nadpis2"/>
        <w:numPr>
          <w:ilvl w:val="0"/>
          <w:numId w:val="0"/>
        </w:numPr>
      </w:pPr>
    </w:p>
    <w:p w:rsidR="00B71AEC" w:rsidRPr="00CB023F" w:rsidRDefault="00B71AEC" w:rsidP="00C647E5">
      <w:pPr>
        <w:pStyle w:val="Nadpis2"/>
      </w:pPr>
      <w:r w:rsidRPr="00CB023F">
        <w:t>Korupcia, vplyv organizovaného zločinu, všeobecné oslabenie štátnych inštitúcií</w:t>
      </w:r>
      <w:r w:rsidR="00D10479" w:rsidRPr="00CB023F">
        <w:t xml:space="preserve"> a </w:t>
      </w:r>
      <w:r w:rsidRPr="00CB023F">
        <w:t>právneho štátu, bilaterálne spory</w:t>
      </w:r>
      <w:r w:rsidR="00D10479" w:rsidRPr="00CB023F">
        <w:t xml:space="preserve"> a </w:t>
      </w:r>
      <w:r w:rsidRPr="00CB023F">
        <w:t>diskriminácia menšinových skupín tiež predstavujú veľké</w:t>
      </w:r>
      <w:r w:rsidR="00D10479" w:rsidRPr="00CB023F">
        <w:t xml:space="preserve"> a </w:t>
      </w:r>
      <w:r w:rsidRPr="00CB023F">
        <w:t>pretrvávajúce problémy</w:t>
      </w:r>
      <w:r w:rsidR="00D10479" w:rsidRPr="00CB023F">
        <w:t xml:space="preserve"> z </w:t>
      </w:r>
      <w:r w:rsidRPr="00CB023F">
        <w:t>hľadiska účasti</w:t>
      </w:r>
      <w:r w:rsidR="00D10479" w:rsidRPr="00CB023F">
        <w:t xml:space="preserve"> a </w:t>
      </w:r>
      <w:r w:rsidRPr="00CB023F">
        <w:t>integrácie.</w:t>
      </w:r>
    </w:p>
    <w:p w:rsidR="00B71AEC" w:rsidRPr="00CB023F" w:rsidRDefault="00B71AEC" w:rsidP="001A1A12">
      <w:pPr>
        <w:ind w:left="567" w:hanging="567"/>
      </w:pPr>
    </w:p>
    <w:p w:rsidR="00D10479" w:rsidRPr="00CB023F" w:rsidRDefault="00B71AEC">
      <w:pPr>
        <w:pStyle w:val="Nadpis2"/>
      </w:pPr>
      <w:r w:rsidRPr="00CB023F">
        <w:t>Kodanské kritériá sú pravidlá, ktoré určujú, či je krajina oprávnená stať sa členom Európskej únii</w:t>
      </w:r>
      <w:r w:rsidRPr="00CB023F">
        <w:rPr>
          <w:rStyle w:val="Odkaznapoznmkupodiarou"/>
        </w:rPr>
        <w:footnoteReference w:id="8"/>
      </w:r>
      <w:r w:rsidRPr="00CB023F">
        <w:t>. Kritériá vyžadujú, aby inštitúcie zaručili demokratickú správu vecí verejných</w:t>
      </w:r>
      <w:r w:rsidR="00D10479" w:rsidRPr="00CB023F">
        <w:t xml:space="preserve"> a </w:t>
      </w:r>
      <w:r w:rsidRPr="00CB023F">
        <w:t>dodržiavanie zásad právneho štátu, rešpektovali ľudské práva, mali fungujúce trhové hospodárstvo</w:t>
      </w:r>
      <w:r w:rsidR="00D10479" w:rsidRPr="00CB023F">
        <w:t xml:space="preserve"> a </w:t>
      </w:r>
      <w:r w:rsidRPr="00CB023F">
        <w:t>prijali povinnosti</w:t>
      </w:r>
      <w:r w:rsidR="00D10479" w:rsidRPr="00CB023F">
        <w:t xml:space="preserve"> a </w:t>
      </w:r>
      <w:r w:rsidRPr="00CB023F">
        <w:t>poslanie EÚ</w:t>
      </w:r>
      <w:r w:rsidR="00D10479" w:rsidRPr="00CB023F">
        <w:t>.</w:t>
      </w:r>
    </w:p>
    <w:p w:rsidR="00B71AEC" w:rsidRPr="00CB023F" w:rsidRDefault="00B71AEC" w:rsidP="00B71AEC">
      <w:pPr>
        <w:ind w:left="567" w:hanging="567"/>
      </w:pPr>
    </w:p>
    <w:p w:rsidR="00B71AEC" w:rsidRPr="00CB023F" w:rsidRDefault="00B71AEC" w:rsidP="00B71AEC">
      <w:pPr>
        <w:pStyle w:val="Nadpis2"/>
      </w:pPr>
      <w:r w:rsidRPr="00CB023F">
        <w:t>Všetky krajiny západného Balkánu nemôžu do EÚ vstúpiť</w:t>
      </w:r>
      <w:r w:rsidR="00D10479" w:rsidRPr="00CB023F">
        <w:t xml:space="preserve"> v </w:t>
      </w:r>
      <w:r w:rsidRPr="00CB023F">
        <w:t>rovnakom čase. EHSV víta skutočnosť, že Srbsko</w:t>
      </w:r>
      <w:r w:rsidR="00D10479" w:rsidRPr="00CB023F">
        <w:t xml:space="preserve"> a </w:t>
      </w:r>
      <w:r w:rsidRPr="00CB023F">
        <w:t>Čierna hora sú momentálne</w:t>
      </w:r>
      <w:r w:rsidR="00D10479" w:rsidRPr="00CB023F">
        <w:t xml:space="preserve"> v </w:t>
      </w:r>
      <w:r w:rsidRPr="00CB023F">
        <w:t>procese integrácie najďalej. Vyjadruje tiež nádej, že bývalá Juhoslovanská republika Macedónsko</w:t>
      </w:r>
      <w:r w:rsidR="00D10479" w:rsidRPr="00CB023F">
        <w:t xml:space="preserve"> a </w:t>
      </w:r>
      <w:r w:rsidRPr="00CB023F">
        <w:t>Albánsko začnú rokovania</w:t>
      </w:r>
      <w:r w:rsidR="00D10479" w:rsidRPr="00CB023F">
        <w:t xml:space="preserve"> s </w:t>
      </w:r>
      <w:r w:rsidRPr="00CB023F">
        <w:t>EÚ čo najskôr. Víta skutočnosť, že Bosna</w:t>
      </w:r>
      <w:r w:rsidR="00D10479" w:rsidRPr="00CB023F">
        <w:t xml:space="preserve"> a </w:t>
      </w:r>
      <w:r w:rsidRPr="00CB023F">
        <w:t xml:space="preserve">Hercegovina predložila odpovede na </w:t>
      </w:r>
      <w:r w:rsidRPr="00CB023F">
        <w:rPr>
          <w:i/>
        </w:rPr>
        <w:t>dotazník</w:t>
      </w:r>
      <w:r w:rsidRPr="00CB023F">
        <w:t xml:space="preserve"> Komisie</w:t>
      </w:r>
      <w:r w:rsidR="00D10479" w:rsidRPr="00CB023F">
        <w:t xml:space="preserve"> a </w:t>
      </w:r>
      <w:r w:rsidRPr="00CB023F">
        <w:t>že Komisia</w:t>
      </w:r>
      <w:r w:rsidR="00D10479" w:rsidRPr="00CB023F">
        <w:t xml:space="preserve"> v </w:t>
      </w:r>
      <w:r w:rsidRPr="00CB023F">
        <w:t>súčasnosti vyhodnocuje možnosť udeliť jej štatút kandidátskej krajiny na členstvo</w:t>
      </w:r>
      <w:r w:rsidR="00D10479" w:rsidRPr="00CB023F">
        <w:t xml:space="preserve"> v </w:t>
      </w:r>
      <w:r w:rsidRPr="00CB023F">
        <w:t>EÚ.</w:t>
      </w:r>
    </w:p>
    <w:p w:rsidR="00B71AEC" w:rsidRPr="00CB023F" w:rsidRDefault="00B71AEC" w:rsidP="00B71AEC">
      <w:pPr>
        <w:ind w:left="567" w:hanging="567"/>
      </w:pPr>
    </w:p>
    <w:p w:rsidR="005F1FF1" w:rsidRPr="00CB023F" w:rsidRDefault="00B71AEC" w:rsidP="00E34A7A">
      <w:pPr>
        <w:pStyle w:val="Nadpis2"/>
      </w:pPr>
      <w:r w:rsidRPr="00CB023F">
        <w:t>Krajiny západného Balkánu sú stále ovplyvnené negatívnymi dôsledkami vojen</w:t>
      </w:r>
      <w:r w:rsidR="00D10479" w:rsidRPr="00CB023F">
        <w:t xml:space="preserve"> a </w:t>
      </w:r>
      <w:r w:rsidRPr="00CB023F">
        <w:t>konfliktov, etnickej nenávisti, iredentistických plánov</w:t>
      </w:r>
      <w:r w:rsidR="00D10479" w:rsidRPr="00CB023F">
        <w:t xml:space="preserve"> a </w:t>
      </w:r>
      <w:r w:rsidRPr="00CB023F">
        <w:t>zmrazených konfliktov, ktoré by mohli opäť vypuknúť. Je potrebné dôrazne nabádať na vyriešenie najnaliehavejších bilaterálnych otázok ešte pred pristúpením krajín</w:t>
      </w:r>
      <w:r w:rsidR="00D10479" w:rsidRPr="00CB023F">
        <w:t xml:space="preserve"> k </w:t>
      </w:r>
      <w:r w:rsidRPr="00CB023F">
        <w:t>EÚ, hoci</w:t>
      </w:r>
      <w:r w:rsidR="00D10479" w:rsidRPr="00CB023F">
        <w:t xml:space="preserve"> v </w:t>
      </w:r>
      <w:r w:rsidRPr="00CB023F">
        <w:t>prípade, ak sa bude trvať na vyriešení všetkých otvorených otázok, by mohlo dôjsť</w:t>
      </w:r>
      <w:r w:rsidR="00D10479" w:rsidRPr="00CB023F">
        <w:t xml:space="preserve"> k </w:t>
      </w:r>
      <w:r w:rsidRPr="00CB023F">
        <w:t>oddialeniu tohto procesu.</w:t>
      </w:r>
    </w:p>
    <w:p w:rsidR="005F1FF1" w:rsidRPr="00CB023F" w:rsidRDefault="005F1FF1" w:rsidP="001A1A12"/>
    <w:p w:rsidR="00D10479" w:rsidRPr="00CB023F" w:rsidRDefault="00B71AEC" w:rsidP="00E2345C">
      <w:pPr>
        <w:pStyle w:val="Nadpis2"/>
      </w:pPr>
      <w:r w:rsidRPr="00CB023F">
        <w:lastRenderedPageBreak/>
        <w:t>EHSV sa tiež domnieva, že organizácie občianskej spoločnosti môžu zohrávať dôležitú úlohu pri spájaní mladších generácií</w:t>
      </w:r>
      <w:r w:rsidR="00D10479" w:rsidRPr="00CB023F">
        <w:t xml:space="preserve"> z </w:t>
      </w:r>
      <w:r w:rsidRPr="00CB023F">
        <w:t>rôznych krajín</w:t>
      </w:r>
      <w:r w:rsidR="00D10479" w:rsidRPr="00CB023F">
        <w:t xml:space="preserve"> a </w:t>
      </w:r>
      <w:r w:rsidRPr="00CB023F">
        <w:t>začatí verejného dialógu</w:t>
      </w:r>
      <w:r w:rsidR="00D10479" w:rsidRPr="00CB023F">
        <w:t xml:space="preserve"> o </w:t>
      </w:r>
      <w:r w:rsidRPr="00CB023F">
        <w:t>mnohých otázkach, ktoré majú pre tento región kľúčový význam. Hospodársky rozvoj, zlepšenie životnej úrovne, zamestnanosť</w:t>
      </w:r>
      <w:r w:rsidR="00D10479" w:rsidRPr="00CB023F">
        <w:t xml:space="preserve"> a </w:t>
      </w:r>
      <w:r w:rsidRPr="00CB023F">
        <w:t>sociálne zabezpečenie sú cestou vedúcou</w:t>
      </w:r>
      <w:r w:rsidR="00D10479" w:rsidRPr="00CB023F">
        <w:t xml:space="preserve"> k </w:t>
      </w:r>
      <w:r w:rsidRPr="00CB023F">
        <w:t>pokojnému regionálnemu spolužitiu</w:t>
      </w:r>
      <w:r w:rsidR="00D10479" w:rsidRPr="00CB023F">
        <w:t>.</w:t>
      </w:r>
    </w:p>
    <w:p w:rsidR="005F1FF1" w:rsidRPr="00CB023F" w:rsidRDefault="005F1FF1" w:rsidP="001A1A12"/>
    <w:p w:rsidR="00864AEC" w:rsidRPr="00CB023F" w:rsidRDefault="00D6550A" w:rsidP="00E2345C">
      <w:pPr>
        <w:pStyle w:val="Nadpis2"/>
      </w:pPr>
      <w:r w:rsidRPr="00CB023F">
        <w:t>V krajinách západného Balkánu by sa mali zriadiť národné rady pre európsku integráciu,</w:t>
      </w:r>
      <w:r w:rsidR="00D10479" w:rsidRPr="00CB023F">
        <w:t xml:space="preserve"> v </w:t>
      </w:r>
      <w:r w:rsidRPr="00CB023F">
        <w:t>ktorých by sa pravidelne stretávali politické orgány na vysokej úrovni</w:t>
      </w:r>
      <w:r w:rsidR="00D10479" w:rsidRPr="00CB023F">
        <w:t xml:space="preserve"> a </w:t>
      </w:r>
      <w:r w:rsidRPr="00CB023F">
        <w:t>najdôležitejšie organizácie občianskej spoločnosti</w:t>
      </w:r>
      <w:r w:rsidR="00D10479" w:rsidRPr="00CB023F">
        <w:t xml:space="preserve"> s </w:t>
      </w:r>
      <w:r w:rsidRPr="00CB023F">
        <w:t>cieľom sprehľadniť proces integrácie EÚ</w:t>
      </w:r>
      <w:r w:rsidR="00D10479" w:rsidRPr="00CB023F">
        <w:t xml:space="preserve"> a </w:t>
      </w:r>
      <w:r w:rsidRPr="00CB023F">
        <w:t>vo väčšej miere</w:t>
      </w:r>
      <w:r w:rsidR="00D10479" w:rsidRPr="00CB023F">
        <w:t xml:space="preserve"> o </w:t>
      </w:r>
      <w:r w:rsidRPr="00CB023F">
        <w:t>ňom informovať</w:t>
      </w:r>
      <w:r w:rsidRPr="00CB023F">
        <w:rPr>
          <w:rStyle w:val="Odkaznapoznmkupodiarou"/>
          <w:color w:val="000000"/>
        </w:rPr>
        <w:footnoteReference w:id="9"/>
      </w:r>
      <w:r w:rsidRPr="00CB023F">
        <w:t>.</w:t>
      </w:r>
    </w:p>
    <w:p w:rsidR="007B78B6" w:rsidRPr="00CB023F" w:rsidRDefault="007B78B6" w:rsidP="007B78B6"/>
    <w:p w:rsidR="00B71AEC" w:rsidRPr="00CB023F" w:rsidRDefault="00762093" w:rsidP="00E2345C">
      <w:pPr>
        <w:pStyle w:val="Nadpis2"/>
      </w:pPr>
      <w:r w:rsidRPr="00CB023F">
        <w:t>EHSV už vymedzil úlohu, ktorú má občianska spoločnosť zohrávať počas prístupového procesu</w:t>
      </w:r>
      <w:r w:rsidR="00D10479" w:rsidRPr="00CB023F">
        <w:t xml:space="preserve"> a </w:t>
      </w:r>
      <w:r w:rsidRPr="00CB023F">
        <w:t>veľmi jasne dal najavo, že angažovanosť občianskej spoločnosti</w:t>
      </w:r>
      <w:r w:rsidR="00D10479" w:rsidRPr="00CB023F">
        <w:t xml:space="preserve"> v </w:t>
      </w:r>
      <w:r w:rsidRPr="00CB023F">
        <w:t>prístupovom procese spočíva v: 1) priamom zapájaní do prebiehajúcich rokovaní (napr. overovanie, príprava národných pozícií, prehľad pokroku); 2) sociálnom</w:t>
      </w:r>
      <w:r w:rsidR="00D10479" w:rsidRPr="00CB023F">
        <w:t xml:space="preserve"> a </w:t>
      </w:r>
      <w:r w:rsidRPr="00CB023F">
        <w:t>občianskom dialógu súvisiacom</w:t>
      </w:r>
      <w:r w:rsidR="00D10479" w:rsidRPr="00CB023F">
        <w:t xml:space="preserve"> s </w:t>
      </w:r>
      <w:r w:rsidRPr="00CB023F">
        <w:t>formuláciou politiky</w:t>
      </w:r>
      <w:r w:rsidR="00D10479" w:rsidRPr="00CB023F">
        <w:t xml:space="preserve"> a </w:t>
      </w:r>
      <w:r w:rsidRPr="00CB023F">
        <w:t>harmonizáciou právnych predpisov štátu</w:t>
      </w:r>
      <w:r w:rsidR="00D10479" w:rsidRPr="00CB023F">
        <w:t xml:space="preserve"> s </w:t>
      </w:r>
      <w:r w:rsidRPr="00CB023F">
        <w:t>právnymi predpismi EÚ; 3) účasti na plánovaní predvstupového financovania; 4) nezávislom monitorovaní pokroku</w:t>
      </w:r>
      <w:r w:rsidR="00D10479" w:rsidRPr="00CB023F">
        <w:t xml:space="preserve"> a </w:t>
      </w:r>
      <w:r w:rsidRPr="00CB023F">
        <w:t>sociálnych účinkov reforiem. Vykonávanie týchto činností si vyžaduje primeranú podporu</w:t>
      </w:r>
      <w:r w:rsidR="00D10479" w:rsidRPr="00CB023F">
        <w:t xml:space="preserve"> z </w:t>
      </w:r>
      <w:r w:rsidRPr="00CB023F">
        <w:t>finančných zdrojov vlády štátu</w:t>
      </w:r>
      <w:r w:rsidR="00D10479" w:rsidRPr="00CB023F">
        <w:t xml:space="preserve"> a </w:t>
      </w:r>
      <w:r w:rsidRPr="00CB023F">
        <w:t>predvstupového financovania EÚ</w:t>
      </w:r>
      <w:r w:rsidRPr="00CB023F">
        <w:rPr>
          <w:rStyle w:val="Odkaznapoznmkupodiarou"/>
        </w:rPr>
        <w:footnoteReference w:id="10"/>
      </w:r>
      <w:r w:rsidRPr="00CB023F">
        <w:t>.</w:t>
      </w:r>
    </w:p>
    <w:p w:rsidR="00B71AEC" w:rsidRPr="00CB023F" w:rsidRDefault="00B71AEC" w:rsidP="00E67A13">
      <w:pPr>
        <w:ind w:left="567" w:hanging="567"/>
      </w:pPr>
    </w:p>
    <w:p w:rsidR="00D10479" w:rsidRPr="00CB023F" w:rsidRDefault="00B71AEC" w:rsidP="00B71AEC">
      <w:pPr>
        <w:pStyle w:val="Nadpis2"/>
      </w:pPr>
      <w:r w:rsidRPr="00CB023F">
        <w:t>EHSV konštatuje, že záujem EÚ</w:t>
      </w:r>
      <w:r w:rsidR="00D10479" w:rsidRPr="00CB023F">
        <w:t xml:space="preserve"> o </w:t>
      </w:r>
      <w:r w:rsidRPr="00CB023F">
        <w:t>rýchle</w:t>
      </w:r>
      <w:r w:rsidR="00D10479" w:rsidRPr="00CB023F">
        <w:t xml:space="preserve"> a </w:t>
      </w:r>
      <w:r w:rsidRPr="00CB023F">
        <w:t>efektívne začlenenie krajín západného Balkánu do EÚ sa znížil</w:t>
      </w:r>
      <w:r w:rsidR="00D10479" w:rsidRPr="00CB023F">
        <w:t xml:space="preserve"> v </w:t>
      </w:r>
      <w:r w:rsidRPr="00CB023F">
        <w:t>dôsledku iných politických priorít, ako aj chýbajúcej európskej stratégie rozširovania, ale aj vzhľadom na rôzne politické prístupy členských štátov.</w:t>
      </w:r>
      <w:r w:rsidR="00D10479" w:rsidRPr="00CB023F">
        <w:t xml:space="preserve"> V </w:t>
      </w:r>
      <w:r w:rsidRPr="00CB023F">
        <w:t>posledných rokoch sa</w:t>
      </w:r>
      <w:r w:rsidR="00D10479" w:rsidRPr="00CB023F">
        <w:t xml:space="preserve"> v </w:t>
      </w:r>
      <w:r w:rsidRPr="00CB023F">
        <w:t>krajinách západného Balkánu</w:t>
      </w:r>
      <w:r w:rsidR="00D10479" w:rsidRPr="00CB023F">
        <w:t xml:space="preserve"> v </w:t>
      </w:r>
      <w:r w:rsidRPr="00CB023F">
        <w:t>dôsledku nenaplnených očakávaní zvýšil euroskepticizmus. Týmto sa oslabil vplyv prístupových kritérií</w:t>
      </w:r>
      <w:r w:rsidR="00D10479" w:rsidRPr="00CB023F">
        <w:t xml:space="preserve"> a </w:t>
      </w:r>
      <w:r w:rsidRPr="00CB023F">
        <w:t>spomalil sa proces reforiem. Tento trend je obzvlášť viditeľný pri zabezpečovaní dodržiavania zásad právneho štátu, slobody médií</w:t>
      </w:r>
      <w:r w:rsidR="00D10479" w:rsidRPr="00CB023F">
        <w:t xml:space="preserve"> a v </w:t>
      </w:r>
      <w:r w:rsidRPr="00CB023F">
        <w:t>oblasti predchádzania korupcii</w:t>
      </w:r>
      <w:r w:rsidR="00D10479" w:rsidRPr="00CB023F">
        <w:t>.</w:t>
      </w:r>
    </w:p>
    <w:p w:rsidR="00B71AEC" w:rsidRPr="00CB023F" w:rsidRDefault="00B71AEC" w:rsidP="00B71AEC">
      <w:pPr>
        <w:ind w:left="567" w:hanging="567"/>
      </w:pPr>
    </w:p>
    <w:p w:rsidR="00B71AEC" w:rsidRPr="00CB023F" w:rsidRDefault="00B71AEC" w:rsidP="00584FC3">
      <w:pPr>
        <w:pStyle w:val="Nadpis2"/>
      </w:pPr>
      <w:r w:rsidRPr="00CB023F">
        <w:t>Krajiny západného Balkánu sa reformujú, ale veľmi rozdielnym tempom. Je potrebné vyvinúť viac úsilia na boj proti prebujnenej korupcii, organizovanej trestnej činnosti</w:t>
      </w:r>
      <w:r w:rsidR="00D10479" w:rsidRPr="00CB023F">
        <w:t xml:space="preserve"> a </w:t>
      </w:r>
      <w:r w:rsidRPr="00CB023F">
        <w:t>praniu špinavých peňazí. Pre zdravú demokraciu je takisto dôležitá nezávislosť súdnictva.</w:t>
      </w:r>
    </w:p>
    <w:p w:rsidR="00584FC3" w:rsidRPr="00CB023F" w:rsidRDefault="00584FC3" w:rsidP="001A1A12"/>
    <w:p w:rsidR="00B71AEC" w:rsidRPr="00CB023F" w:rsidRDefault="00B71AEC" w:rsidP="00B71AEC">
      <w:pPr>
        <w:pStyle w:val="Nadpis2"/>
      </w:pPr>
      <w:r w:rsidRPr="00CB023F">
        <w:t>EHSV považuje za potrebné posilniť boj proti terorizmu</w:t>
      </w:r>
      <w:r w:rsidR="00D10479" w:rsidRPr="00CB023F">
        <w:t xml:space="preserve"> v </w:t>
      </w:r>
      <w:r w:rsidRPr="00CB023F">
        <w:t>krajinách západného Balkánu</w:t>
      </w:r>
      <w:r w:rsidR="00D10479" w:rsidRPr="00CB023F">
        <w:t xml:space="preserve"> a </w:t>
      </w:r>
      <w:r w:rsidRPr="00CB023F">
        <w:t>dôrazne podporuje iniciatívu pre boj proti terorizmu na západnom Balkáne (WBCTi)</w:t>
      </w:r>
      <w:r w:rsidRPr="00CB023F">
        <w:rPr>
          <w:rStyle w:val="Odkaznapoznmkupodiarou"/>
        </w:rPr>
        <w:footnoteReference w:id="11"/>
      </w:r>
      <w:r w:rsidRPr="00CB023F">
        <w:t>.</w:t>
      </w:r>
    </w:p>
    <w:p w:rsidR="00B71AEC" w:rsidRPr="00CB023F" w:rsidRDefault="00B71AEC" w:rsidP="00E67A13">
      <w:pPr>
        <w:ind w:left="567" w:hanging="567"/>
      </w:pPr>
    </w:p>
    <w:p w:rsidR="00B71AEC" w:rsidRPr="00CB023F" w:rsidRDefault="00B71AEC" w:rsidP="00B71AEC">
      <w:pPr>
        <w:pStyle w:val="Nadpis2"/>
      </w:pPr>
      <w:r w:rsidRPr="00CB023F">
        <w:t>EHSV sa domnieva, že spolupráca medzi krajinami západného Balkánu</w:t>
      </w:r>
      <w:r w:rsidR="00D10479" w:rsidRPr="00CB023F">
        <w:t xml:space="preserve"> a </w:t>
      </w:r>
      <w:r w:rsidRPr="00CB023F">
        <w:t>EÚ</w:t>
      </w:r>
      <w:r w:rsidR="00D10479" w:rsidRPr="00CB023F">
        <w:t xml:space="preserve"> a </w:t>
      </w:r>
      <w:r w:rsidRPr="00CB023F">
        <w:t>jej príslušnými agentúrami (napr. Europol) by sa mala ďalej rozvíjať</w:t>
      </w:r>
      <w:r w:rsidR="00D10479" w:rsidRPr="00CB023F">
        <w:t xml:space="preserve"> s </w:t>
      </w:r>
      <w:r w:rsidRPr="00CB023F">
        <w:t>cieľom urýchliť proces rozširovania. Toto opatrenie je naliehavo potrebné</w:t>
      </w:r>
      <w:r w:rsidR="00D10479" w:rsidRPr="00CB023F">
        <w:t xml:space="preserve"> v </w:t>
      </w:r>
      <w:r w:rsidRPr="00CB023F">
        <w:t>oblastiach, ako je bezpečnosť</w:t>
      </w:r>
      <w:r w:rsidR="00D10479" w:rsidRPr="00CB023F">
        <w:t xml:space="preserve"> a </w:t>
      </w:r>
      <w:r w:rsidRPr="00CB023F">
        <w:t>migrácia.</w:t>
      </w:r>
    </w:p>
    <w:p w:rsidR="00B71AEC" w:rsidRPr="00CB023F" w:rsidRDefault="00B71AEC" w:rsidP="00B71AEC">
      <w:pPr>
        <w:jc w:val="left"/>
      </w:pPr>
    </w:p>
    <w:p w:rsidR="00B71AEC" w:rsidRPr="00CB023F" w:rsidRDefault="00B71AEC" w:rsidP="00E67A13">
      <w:pPr>
        <w:pStyle w:val="Nadpis1"/>
        <w:keepNext/>
        <w:jc w:val="left"/>
      </w:pPr>
      <w:r w:rsidRPr="00CB023F">
        <w:rPr>
          <w:b/>
        </w:rPr>
        <w:lastRenderedPageBreak/>
        <w:t>Hospodárska stabilita</w:t>
      </w:r>
      <w:r w:rsidR="00D10479" w:rsidRPr="00CB023F">
        <w:rPr>
          <w:b/>
        </w:rPr>
        <w:t xml:space="preserve"> a </w:t>
      </w:r>
      <w:r w:rsidRPr="00CB023F">
        <w:rPr>
          <w:b/>
        </w:rPr>
        <w:t>prosperita</w:t>
      </w:r>
    </w:p>
    <w:p w:rsidR="00B71AEC" w:rsidRPr="00CB023F" w:rsidRDefault="00B71AEC" w:rsidP="00B71AEC">
      <w:pPr>
        <w:keepNext/>
        <w:ind w:left="567" w:hanging="567"/>
        <w:jc w:val="left"/>
      </w:pPr>
    </w:p>
    <w:p w:rsidR="00D10479" w:rsidRPr="00CB023F" w:rsidRDefault="00B71AEC" w:rsidP="00F05719">
      <w:pPr>
        <w:pStyle w:val="Nadpis2"/>
      </w:pPr>
      <w:r w:rsidRPr="00CB023F">
        <w:t>Ekonomiky</w:t>
      </w:r>
      <w:r w:rsidR="00D10479" w:rsidRPr="00CB023F">
        <w:t xml:space="preserve"> v </w:t>
      </w:r>
      <w:r w:rsidRPr="00CB023F">
        <w:t>regióne západného Balkánu naďalej rastú, pričom</w:t>
      </w:r>
      <w:r w:rsidR="00D10479" w:rsidRPr="00CB023F">
        <w:t xml:space="preserve"> v </w:t>
      </w:r>
      <w:r w:rsidRPr="00CB023F">
        <w:t>roku 2017 sa očakáva rast reálneho HDP</w:t>
      </w:r>
      <w:r w:rsidR="00D10479" w:rsidRPr="00CB023F">
        <w:t xml:space="preserve"> o </w:t>
      </w:r>
      <w:r w:rsidRPr="00CB023F">
        <w:t>2,6</w:t>
      </w:r>
      <w:r w:rsidR="00D10479" w:rsidRPr="00CB023F">
        <w:t> %</w:t>
      </w:r>
      <w:r w:rsidRPr="00CB023F">
        <w:t>.</w:t>
      </w:r>
      <w:r w:rsidR="00D10479" w:rsidRPr="00CB023F">
        <w:t xml:space="preserve"> V </w:t>
      </w:r>
      <w:r w:rsidRPr="00CB023F">
        <w:t>roku 2018 by sa rast HDP mal zvýšiť na 3,0</w:t>
      </w:r>
      <w:r w:rsidR="00D10479" w:rsidRPr="00CB023F">
        <w:t> %</w:t>
      </w:r>
      <w:r w:rsidRPr="00CB023F">
        <w:t>,</w:t>
      </w:r>
      <w:r w:rsidR="00D10479" w:rsidRPr="00CB023F">
        <w:t xml:space="preserve"> a </w:t>
      </w:r>
      <w:r w:rsidRPr="00CB023F">
        <w:t>to vďaka súkromnej spotrebe, súkromným investíciám</w:t>
      </w:r>
      <w:r w:rsidR="00D10479" w:rsidRPr="00CB023F">
        <w:t xml:space="preserve"> a </w:t>
      </w:r>
      <w:r w:rsidRPr="00CB023F">
        <w:t>postupnému oživeniu, pokiaľ ide</w:t>
      </w:r>
      <w:r w:rsidR="00D10479" w:rsidRPr="00CB023F">
        <w:t xml:space="preserve"> o </w:t>
      </w:r>
      <w:r w:rsidRPr="00CB023F">
        <w:t>poskytovanie úverov, prevod finančných prostriedkov zo zahraničia</w:t>
      </w:r>
      <w:r w:rsidR="00D10479" w:rsidRPr="00CB023F">
        <w:t xml:space="preserve"> a </w:t>
      </w:r>
      <w:r w:rsidRPr="00CB023F">
        <w:t>rozsiahle projekty</w:t>
      </w:r>
      <w:r w:rsidR="00D10479" w:rsidRPr="00CB023F">
        <w:t xml:space="preserve"> v </w:t>
      </w:r>
      <w:r w:rsidR="00CB023F" w:rsidRPr="00CB023F">
        <w:t>oblasti infraštruktúry.</w:t>
      </w:r>
      <w:r w:rsidR="00D10479" w:rsidRPr="00CB023F">
        <w:t xml:space="preserve"> V </w:t>
      </w:r>
      <w:r w:rsidRPr="00CB023F">
        <w:t>porovnaní so situáciou</w:t>
      </w:r>
      <w:r w:rsidR="00D10479" w:rsidRPr="00CB023F">
        <w:t xml:space="preserve"> v </w:t>
      </w:r>
      <w:r w:rsidRPr="00CB023F">
        <w:t>roku 1995 sa životná úroveň vo všetkých šiestich štátoch západného Balkánu výrazne zvýšila. Napriek tomu týchto šesť krajín naďalej patrí medzi najchudobnejšie</w:t>
      </w:r>
      <w:r w:rsidR="00D10479" w:rsidRPr="00CB023F">
        <w:t xml:space="preserve"> v </w:t>
      </w:r>
      <w:r w:rsidRPr="00CB023F">
        <w:t>Európe. Okrem toho hospodárske zbližovanie krajín západného Balkánu od začiatku krízy stratilo na intenzite</w:t>
      </w:r>
      <w:r w:rsidR="00D10479" w:rsidRPr="00CB023F">
        <w:t xml:space="preserve"> a </w:t>
      </w:r>
      <w:r w:rsidRPr="00CB023F">
        <w:t>zaostáva za konvergenciou</w:t>
      </w:r>
      <w:r w:rsidR="00D10479" w:rsidRPr="00CB023F">
        <w:t xml:space="preserve"> v </w:t>
      </w:r>
      <w:r w:rsidRPr="00CB023F">
        <w:t>nových členských štátoch stredovýchodnej</w:t>
      </w:r>
      <w:r w:rsidR="00D10479" w:rsidRPr="00CB023F">
        <w:t xml:space="preserve"> a </w:t>
      </w:r>
      <w:r w:rsidRPr="00CB023F">
        <w:t>juhovýchodnej Európy</w:t>
      </w:r>
      <w:r w:rsidR="00D10479" w:rsidRPr="00CB023F">
        <w:t>.</w:t>
      </w:r>
    </w:p>
    <w:p w:rsidR="005F1FF1" w:rsidRPr="00CB023F" w:rsidRDefault="005F1FF1" w:rsidP="005F1FF1"/>
    <w:p w:rsidR="00D10479" w:rsidRPr="00CB023F" w:rsidRDefault="00B71AEC" w:rsidP="005F1FF1">
      <w:pPr>
        <w:pStyle w:val="Nadpis2"/>
      </w:pPr>
      <w:r w:rsidRPr="00CB023F">
        <w:t>Proces hospodárskej konvergencie</w:t>
      </w:r>
      <w:r w:rsidR="00D10479" w:rsidRPr="00CB023F">
        <w:t xml:space="preserve"> v </w:t>
      </w:r>
      <w:r w:rsidRPr="00CB023F">
        <w:t>krajinách západného Balkánu je mimoriadne dlhý. Je preto nevyhnutné vytvoriť prostredie, ktoré umožní/urýchli zahraničné investície,</w:t>
      </w:r>
      <w:r w:rsidR="00D10479" w:rsidRPr="00CB023F">
        <w:t xml:space="preserve"> a </w:t>
      </w:r>
      <w:r w:rsidRPr="00CB023F">
        <w:t>vykonať vhodné hospodárske reformy, posilniť konkurencieschopnosť</w:t>
      </w:r>
      <w:r w:rsidR="00D10479" w:rsidRPr="00CB023F">
        <w:t xml:space="preserve"> a </w:t>
      </w:r>
      <w:r w:rsidRPr="00CB023F">
        <w:t>vytvárať vysokokvalitné pracovné miesta</w:t>
      </w:r>
      <w:r w:rsidR="00D10479" w:rsidRPr="00CB023F">
        <w:t>.</w:t>
      </w:r>
    </w:p>
    <w:p w:rsidR="00B71AEC" w:rsidRPr="00CB023F" w:rsidRDefault="00B71AEC" w:rsidP="00B71AEC">
      <w:pPr>
        <w:ind w:left="567" w:hanging="567"/>
        <w:jc w:val="left"/>
        <w:outlineLvl w:val="1"/>
      </w:pPr>
    </w:p>
    <w:p w:rsidR="00D10479" w:rsidRPr="00CB023F" w:rsidRDefault="00B71AEC" w:rsidP="00B71AEC">
      <w:pPr>
        <w:pStyle w:val="Nadpis2"/>
      </w:pPr>
      <w:r w:rsidRPr="00CB023F">
        <w:t>EHSV víta pokrok, ktorý sa dosiahol</w:t>
      </w:r>
      <w:r w:rsidR="00D10479" w:rsidRPr="00CB023F">
        <w:t xml:space="preserve"> v </w:t>
      </w:r>
      <w:r w:rsidRPr="00CB023F">
        <w:t>oblasti hospodárskej integrácie krajín západného Balkánu vďaka tomu, že vedúci predstavitelia regiónu prisľúbili prehĺbiť vzťahy</w:t>
      </w:r>
      <w:r w:rsidR="00D10479" w:rsidRPr="00CB023F">
        <w:t xml:space="preserve"> a </w:t>
      </w:r>
      <w:r w:rsidRPr="00CB023F">
        <w:t>spolupracovať na ceste</w:t>
      </w:r>
      <w:r w:rsidR="00D10479" w:rsidRPr="00CB023F">
        <w:t xml:space="preserve"> k </w:t>
      </w:r>
      <w:r w:rsidRPr="00CB023F">
        <w:t>pristúpeniu do Európskej únie,</w:t>
      </w:r>
      <w:r w:rsidR="00D10479" w:rsidRPr="00CB023F">
        <w:t xml:space="preserve"> a </w:t>
      </w:r>
      <w:r w:rsidRPr="00CB023F">
        <w:t>vyzýva na väčšie zapojenie sociálnych partnerov</w:t>
      </w:r>
      <w:r w:rsidR="00D10479" w:rsidRPr="00CB023F">
        <w:t xml:space="preserve"> a </w:t>
      </w:r>
      <w:r w:rsidRPr="00CB023F">
        <w:t>ostatných organizácií občianskej spoločnosti do vypracúvania programov hospodárskych reforiem (ERP), ako aj spoločných záverov</w:t>
      </w:r>
      <w:r w:rsidR="00D10479" w:rsidRPr="00CB023F">
        <w:t xml:space="preserve"> s </w:t>
      </w:r>
      <w:r w:rsidRPr="00CB023F">
        <w:t>konkrétnymi odporúčaniami pre jednotlivé krajiny</w:t>
      </w:r>
      <w:r w:rsidR="00D10479" w:rsidRPr="00CB023F">
        <w:t xml:space="preserve"> v </w:t>
      </w:r>
      <w:r w:rsidRPr="00CB023F">
        <w:t>regióne</w:t>
      </w:r>
      <w:r w:rsidRPr="00CB023F">
        <w:rPr>
          <w:rStyle w:val="Odkaznapoznmkupodiarou"/>
        </w:rPr>
        <w:footnoteReference w:id="12"/>
      </w:r>
      <w:r w:rsidR="00D10479" w:rsidRPr="00CB023F">
        <w:t>.</w:t>
      </w:r>
    </w:p>
    <w:p w:rsidR="00B71AEC" w:rsidRPr="00CB023F" w:rsidRDefault="00B71AEC" w:rsidP="00822ED4">
      <w:pPr>
        <w:ind w:left="567" w:hanging="567"/>
      </w:pPr>
    </w:p>
    <w:p w:rsidR="00B71AEC" w:rsidRPr="00CB023F" w:rsidRDefault="00B71AEC" w:rsidP="00B71AEC">
      <w:pPr>
        <w:pStyle w:val="Nadpis2"/>
      </w:pPr>
      <w:r w:rsidRPr="00CB023F">
        <w:t>Je tiež presvedčený, že kandidátske krajiny potrebujú viac reformných stimulov. Predovšetkým treba podporovať užšiu regionálnu spoluprácu</w:t>
      </w:r>
      <w:r w:rsidR="00D10479" w:rsidRPr="00CB023F">
        <w:t xml:space="preserve"> s </w:t>
      </w:r>
      <w:r w:rsidRPr="00CB023F">
        <w:t>cieľom uľahčiť plnenie kritérií na členstvo</w:t>
      </w:r>
      <w:r w:rsidR="00D10479" w:rsidRPr="00CB023F">
        <w:t xml:space="preserve"> v </w:t>
      </w:r>
      <w:r w:rsidRPr="00CB023F">
        <w:t>EÚ.</w:t>
      </w:r>
    </w:p>
    <w:p w:rsidR="00B71AEC" w:rsidRPr="00CB023F" w:rsidRDefault="00B71AEC" w:rsidP="00E67A13">
      <w:pPr>
        <w:ind w:left="567" w:hanging="567"/>
      </w:pPr>
    </w:p>
    <w:p w:rsidR="00B71AEC" w:rsidRPr="00CB023F" w:rsidRDefault="00B71AEC" w:rsidP="00B71AEC">
      <w:pPr>
        <w:pStyle w:val="Nadpis2"/>
      </w:pPr>
      <w:r w:rsidRPr="00CB023F">
        <w:t>EHSV sa domnieva, že je potrebné mobilizovať prílev nových priamych zahraničných investícií do výrobných odvetví,</w:t>
      </w:r>
      <w:r w:rsidR="00D10479" w:rsidRPr="00CB023F">
        <w:t xml:space="preserve"> a </w:t>
      </w:r>
      <w:r w:rsidRPr="00CB023F">
        <w:t>to podporovaním miestnych dodávateľských reťazcov</w:t>
      </w:r>
      <w:r w:rsidR="00D10479" w:rsidRPr="00CB023F">
        <w:t xml:space="preserve"> a </w:t>
      </w:r>
      <w:r w:rsidRPr="00CB023F">
        <w:t>zvyšovaním zručností</w:t>
      </w:r>
      <w:r w:rsidR="00D10479" w:rsidRPr="00CB023F">
        <w:t xml:space="preserve"> a </w:t>
      </w:r>
      <w:r w:rsidRPr="00CB023F">
        <w:t>technologickej kapacity malých</w:t>
      </w:r>
      <w:r w:rsidR="00D10479" w:rsidRPr="00CB023F">
        <w:t xml:space="preserve"> a </w:t>
      </w:r>
      <w:r w:rsidRPr="00CB023F">
        <w:t>stredných podnikov.</w:t>
      </w:r>
    </w:p>
    <w:p w:rsidR="00B71AEC" w:rsidRPr="00CB023F" w:rsidRDefault="00B71AEC" w:rsidP="00B71AEC">
      <w:pPr>
        <w:ind w:left="567" w:hanging="567"/>
      </w:pPr>
    </w:p>
    <w:p w:rsidR="00B71AEC" w:rsidRPr="00CB023F" w:rsidRDefault="00B71AEC" w:rsidP="00B71AEC">
      <w:pPr>
        <w:pStyle w:val="Nadpis2"/>
      </w:pPr>
      <w:r w:rsidRPr="00CB023F">
        <w:t>Faktorom rozvoja</w:t>
      </w:r>
      <w:r w:rsidR="00D10479" w:rsidRPr="00CB023F">
        <w:t xml:space="preserve"> a </w:t>
      </w:r>
      <w:r w:rsidRPr="00CB023F">
        <w:t>prepojenia regiónu by mala byť energetika</w:t>
      </w:r>
      <w:r w:rsidR="00D10479" w:rsidRPr="00CB023F">
        <w:t xml:space="preserve"> a </w:t>
      </w:r>
      <w:r w:rsidRPr="00CB023F">
        <w:t>doprava. Tým by sa zabezpečilo, že občania krajín západného Balkánu budú mať jasnú predstavu</w:t>
      </w:r>
      <w:r w:rsidR="00D10479" w:rsidRPr="00CB023F">
        <w:t xml:space="preserve"> o </w:t>
      </w:r>
      <w:r w:rsidRPr="00CB023F">
        <w:t>sociálnych, hospodárskych</w:t>
      </w:r>
      <w:r w:rsidR="00D10479" w:rsidRPr="00CB023F">
        <w:t xml:space="preserve"> a </w:t>
      </w:r>
      <w:r w:rsidRPr="00CB023F">
        <w:t>environmentálnych výhodách pristúpenia</w:t>
      </w:r>
      <w:r w:rsidR="00D10479" w:rsidRPr="00CB023F">
        <w:t xml:space="preserve"> k </w:t>
      </w:r>
      <w:r w:rsidRPr="00CB023F">
        <w:t>EÚ. Napríklad energetická efektívnosť, ako aj úspory energie, sú faktormi, ktoré podnecujú činnosť podnikov</w:t>
      </w:r>
      <w:r w:rsidR="00D10479" w:rsidRPr="00CB023F">
        <w:t xml:space="preserve"> a </w:t>
      </w:r>
      <w:r w:rsidRPr="00CB023F">
        <w:t>vytváranie ekologických, ale aj tradičných pracovných miest.</w:t>
      </w:r>
    </w:p>
    <w:p w:rsidR="00B71AEC" w:rsidRPr="00CB023F" w:rsidRDefault="00B71AEC" w:rsidP="00E67A13">
      <w:pPr>
        <w:ind w:left="567" w:hanging="567"/>
        <w:rPr>
          <w:b/>
        </w:rPr>
      </w:pPr>
    </w:p>
    <w:p w:rsidR="00D10479" w:rsidRPr="00CB023F" w:rsidRDefault="00B71AEC" w:rsidP="00B71AEC">
      <w:pPr>
        <w:pStyle w:val="Nadpis2"/>
      </w:pPr>
      <w:r w:rsidRPr="00CB023F">
        <w:t>Zlepšenie infraštruktúry zníži náklady na dopravu</w:t>
      </w:r>
      <w:r w:rsidR="00D10479" w:rsidRPr="00CB023F">
        <w:t xml:space="preserve"> a </w:t>
      </w:r>
      <w:r w:rsidRPr="00CB023F">
        <w:t>energie</w:t>
      </w:r>
      <w:r w:rsidR="00D10479" w:rsidRPr="00CB023F">
        <w:t xml:space="preserve"> a </w:t>
      </w:r>
      <w:r w:rsidRPr="00CB023F">
        <w:t>podporí veľké investície</w:t>
      </w:r>
      <w:r w:rsidR="00D10479" w:rsidRPr="00CB023F">
        <w:t xml:space="preserve"> v </w:t>
      </w:r>
      <w:r w:rsidRPr="00CB023F">
        <w:t>tejto oblasti. Okrem toho podpora digitálnej modernizácie západného Balkánu prispeje</w:t>
      </w:r>
      <w:r w:rsidR="00D10479" w:rsidRPr="00CB023F">
        <w:t xml:space="preserve"> k </w:t>
      </w:r>
      <w:r w:rsidRPr="00CB023F">
        <w:t>rozvoju podnikania, zvýšeniu produktivity</w:t>
      </w:r>
      <w:r w:rsidR="00D10479" w:rsidRPr="00CB023F">
        <w:t xml:space="preserve"> a </w:t>
      </w:r>
      <w:r w:rsidRPr="00CB023F">
        <w:t>zlepšeniu kvality života</w:t>
      </w:r>
      <w:r w:rsidR="00D10479" w:rsidRPr="00CB023F">
        <w:t>.</w:t>
      </w:r>
    </w:p>
    <w:p w:rsidR="00B71AEC" w:rsidRPr="00CB023F" w:rsidRDefault="00B71AEC" w:rsidP="00B71AEC">
      <w:pPr>
        <w:ind w:left="567" w:hanging="567"/>
      </w:pPr>
    </w:p>
    <w:p w:rsidR="00B71AEC" w:rsidRPr="00CB023F" w:rsidRDefault="00B71AEC" w:rsidP="00B71AEC">
      <w:pPr>
        <w:pStyle w:val="Nadpis2"/>
      </w:pPr>
      <w:r w:rsidRPr="00CB023F">
        <w:lastRenderedPageBreak/>
        <w:t>EHSV sa tiež domnieva, že investície do doplňujúcich prístupov</w:t>
      </w:r>
      <w:r w:rsidR="00D10479" w:rsidRPr="00CB023F">
        <w:t xml:space="preserve"> k </w:t>
      </w:r>
      <w:r w:rsidRPr="00CB023F">
        <w:t>tradičným hospodárskym politikám (obehové hospodárstvo, sociálna ekonomika, presadzovanie cieľov</w:t>
      </w:r>
      <w:r w:rsidR="00D10479" w:rsidRPr="00CB023F">
        <w:t xml:space="preserve"> v </w:t>
      </w:r>
      <w:r w:rsidRPr="00CB023F">
        <w:t>oblasti trvalo udržateľného rozvoja) môžu zabezpečiť celkový rast</w:t>
      </w:r>
      <w:r w:rsidR="00D10479" w:rsidRPr="00CB023F">
        <w:t xml:space="preserve"> a </w:t>
      </w:r>
      <w:r w:rsidRPr="00CB023F">
        <w:t>zamestnanosť.</w:t>
      </w:r>
    </w:p>
    <w:p w:rsidR="00B71AEC" w:rsidRPr="00CB023F" w:rsidRDefault="00B71AEC" w:rsidP="00B71AEC">
      <w:pPr>
        <w:ind w:left="567" w:hanging="567"/>
        <w:jc w:val="left"/>
        <w:outlineLvl w:val="1"/>
      </w:pPr>
    </w:p>
    <w:p w:rsidR="00D10479" w:rsidRPr="00CB023F" w:rsidRDefault="00B71AEC" w:rsidP="00B71AEC">
      <w:pPr>
        <w:pStyle w:val="Nadpis2"/>
      </w:pPr>
      <w:r w:rsidRPr="00CB023F">
        <w:t>EHSV konštatuje, že vo všetkých krajinách západného Balkánu si štát stále ponecháva nadmerne veľkú úlohu, zatiaľ čo súkromný sektor je menší než</w:t>
      </w:r>
      <w:r w:rsidR="00D10479" w:rsidRPr="00CB023F">
        <w:t xml:space="preserve"> v </w:t>
      </w:r>
      <w:r w:rsidRPr="00CB023F">
        <w:t>prípade siedmich malých transformujúcich sa ekonomík Európy</w:t>
      </w:r>
      <w:r w:rsidRPr="00CB023F">
        <w:rPr>
          <w:rStyle w:val="Odkaznapoznmkupodiarou"/>
        </w:rPr>
        <w:footnoteReference w:id="13"/>
      </w:r>
      <w:r w:rsidR="00D10479" w:rsidRPr="00CB023F">
        <w:t>.</w:t>
      </w:r>
    </w:p>
    <w:p w:rsidR="00B71AEC" w:rsidRPr="00CB023F" w:rsidRDefault="00B71AEC" w:rsidP="00B71AEC">
      <w:pPr>
        <w:pStyle w:val="Nadpis2"/>
        <w:numPr>
          <w:ilvl w:val="0"/>
          <w:numId w:val="0"/>
        </w:numPr>
        <w:ind w:left="567" w:hanging="567"/>
      </w:pPr>
    </w:p>
    <w:p w:rsidR="00D10479" w:rsidRPr="00CB023F" w:rsidRDefault="00B71AEC" w:rsidP="00B71AEC">
      <w:pPr>
        <w:pStyle w:val="Nadpis2"/>
      </w:pPr>
      <w:r w:rsidRPr="00CB023F">
        <w:t>EHSV sa domnieva, že štát sa musí stať účinnejším</w:t>
      </w:r>
      <w:r w:rsidR="00D10479" w:rsidRPr="00CB023F">
        <w:t xml:space="preserve"> a </w:t>
      </w:r>
      <w:r w:rsidRPr="00CB023F">
        <w:t>spoľahlivejším poskytovateľom verejných služieb</w:t>
      </w:r>
      <w:r w:rsidR="00D10479" w:rsidRPr="00CB023F">
        <w:t xml:space="preserve"> a </w:t>
      </w:r>
      <w:r w:rsidRPr="00CB023F">
        <w:t>musí zabezpečiť priaznivé prostredie pre súkromné podniky</w:t>
      </w:r>
      <w:r w:rsidR="00D10479" w:rsidRPr="00CB023F">
        <w:t>.</w:t>
      </w:r>
    </w:p>
    <w:p w:rsidR="00B71AEC" w:rsidRPr="00CB023F" w:rsidRDefault="00B71AEC" w:rsidP="00B71AEC">
      <w:pPr>
        <w:ind w:left="567" w:hanging="567"/>
        <w:jc w:val="left"/>
        <w:outlineLvl w:val="1"/>
      </w:pPr>
    </w:p>
    <w:p w:rsidR="00D10479" w:rsidRPr="00CB023F" w:rsidRDefault="00B71AEC" w:rsidP="00B71AEC">
      <w:pPr>
        <w:pStyle w:val="Nadpis2"/>
      </w:pPr>
      <w:r w:rsidRPr="00CB023F">
        <w:t>EHSV sa nazdáva, že malé</w:t>
      </w:r>
      <w:r w:rsidR="00D10479" w:rsidRPr="00CB023F">
        <w:t xml:space="preserve"> a </w:t>
      </w:r>
      <w:r w:rsidRPr="00CB023F">
        <w:t>stredné podniky, ktoré</w:t>
      </w:r>
      <w:r w:rsidR="00D10479" w:rsidRPr="00CB023F">
        <w:t xml:space="preserve"> v </w:t>
      </w:r>
      <w:r w:rsidRPr="00CB023F">
        <w:t>rámci podnikov/v podnikateľskom sektore prevládajú, by sa mohli stať motorom hospodárskeho rastu všetkých šiestich krajín západného Balkánu. Aby to bolo možné, je nevyhnutné obmedziť byrokraciu, dosiahnuť transparentnosť verejnej správy, bojovať proti korupcii</w:t>
      </w:r>
      <w:r w:rsidR="00D10479" w:rsidRPr="00CB023F">
        <w:t xml:space="preserve"> a </w:t>
      </w:r>
      <w:r w:rsidRPr="00CB023F">
        <w:t>zaistiť plne nezávislé súdnictvo</w:t>
      </w:r>
      <w:r w:rsidR="00D10479" w:rsidRPr="00CB023F">
        <w:t>.</w:t>
      </w:r>
    </w:p>
    <w:p w:rsidR="00B71AEC" w:rsidRPr="00CB023F" w:rsidRDefault="00B71AEC" w:rsidP="00E67A13">
      <w:pPr>
        <w:ind w:left="567" w:hanging="567"/>
      </w:pPr>
    </w:p>
    <w:p w:rsidR="00B71AEC" w:rsidRPr="00CB023F" w:rsidRDefault="00B71AEC" w:rsidP="00B71AEC">
      <w:pPr>
        <w:pStyle w:val="Nadpis2"/>
      </w:pPr>
      <w:r w:rsidRPr="00CB023F">
        <w:t>EHSV podporuje závery 6. fóra občianskej spoločnosti západného Balkánu,</w:t>
      </w:r>
      <w:r w:rsidR="00D10479" w:rsidRPr="00CB023F">
        <w:t xml:space="preserve"> a </w:t>
      </w:r>
      <w:r w:rsidRPr="00CB023F">
        <w:t>vyjadruje hlboké znepokojenie</w:t>
      </w:r>
      <w:r w:rsidR="00D10479" w:rsidRPr="00CB023F">
        <w:t xml:space="preserve"> v </w:t>
      </w:r>
      <w:r w:rsidRPr="00CB023F">
        <w:t>súvislosti so zmenšujúcim sa priestorom pre občiansku spoločnosť</w:t>
      </w:r>
      <w:r w:rsidR="00D10479" w:rsidRPr="00CB023F">
        <w:t xml:space="preserve"> v </w:t>
      </w:r>
      <w:r w:rsidRPr="00CB023F">
        <w:t>čoraz väčšom počte krajín západného Balkánu. Pripomína záväzok EÚ</w:t>
      </w:r>
      <w:r w:rsidR="00D10479" w:rsidRPr="00CB023F">
        <w:t xml:space="preserve"> a </w:t>
      </w:r>
      <w:r w:rsidRPr="00CB023F">
        <w:t>jej členských štátov, že budú presadzovať priestor pre pôsobenie občianskej spoločnosti</w:t>
      </w:r>
      <w:r w:rsidR="00D10479" w:rsidRPr="00CB023F">
        <w:t xml:space="preserve"> a </w:t>
      </w:r>
      <w:r w:rsidRPr="00CB023F">
        <w:t>lepšie podporovať budovanie schopnosti organizácií občianskej spoločnosti posilniť svoj hlas</w:t>
      </w:r>
      <w:r w:rsidR="00D10479" w:rsidRPr="00CB023F">
        <w:t xml:space="preserve"> v </w:t>
      </w:r>
      <w:r w:rsidRPr="00CB023F">
        <w:t>rozvojovom procese</w:t>
      </w:r>
      <w:r w:rsidR="00D10479" w:rsidRPr="00CB023F">
        <w:t xml:space="preserve"> a </w:t>
      </w:r>
      <w:r w:rsidRPr="00CB023F">
        <w:t>presadzovať politický, sociálny</w:t>
      </w:r>
      <w:r w:rsidR="00D10479" w:rsidRPr="00CB023F">
        <w:t xml:space="preserve"> a </w:t>
      </w:r>
      <w:r w:rsidRPr="00CB023F">
        <w:t>hospodársky dialóg.</w:t>
      </w:r>
    </w:p>
    <w:p w:rsidR="00B71AEC" w:rsidRPr="00CB023F" w:rsidRDefault="00B71AEC" w:rsidP="00E67A13">
      <w:pPr>
        <w:ind w:left="567" w:hanging="567"/>
      </w:pPr>
    </w:p>
    <w:p w:rsidR="00B71AEC" w:rsidRPr="00CB023F" w:rsidRDefault="00B71AEC" w:rsidP="00B71AEC">
      <w:pPr>
        <w:pStyle w:val="Nadpis2"/>
      </w:pPr>
      <w:r w:rsidRPr="00CB023F">
        <w:t>EHSV poznamenáva, že organizácie občianskej spoločnosti musia byť zmysluplne zapojené do hospodárskeho, spoločenského</w:t>
      </w:r>
      <w:r w:rsidR="00D10479" w:rsidRPr="00CB023F">
        <w:t xml:space="preserve"> a </w:t>
      </w:r>
      <w:r w:rsidRPr="00CB023F">
        <w:t>legislatívneho procesu reforiem vo všetkých krajinách západného Balkánu. Je potrebné posilniť ich kapacity prostredníctvom technickej</w:t>
      </w:r>
      <w:r w:rsidR="00D10479" w:rsidRPr="00CB023F">
        <w:t xml:space="preserve"> a </w:t>
      </w:r>
      <w:r w:rsidRPr="00CB023F">
        <w:t>finančnej podpory, ako aj tým, že sa im uľahčí prístup</w:t>
      </w:r>
      <w:r w:rsidR="00D10479" w:rsidRPr="00CB023F">
        <w:t xml:space="preserve"> k </w:t>
      </w:r>
      <w:r w:rsidRPr="00CB023F">
        <w:t>európskym finančným zdrojom</w:t>
      </w:r>
      <w:r w:rsidR="00D10479" w:rsidRPr="00CB023F">
        <w:t xml:space="preserve"> a </w:t>
      </w:r>
      <w:r w:rsidRPr="00CB023F">
        <w:t>budú včas informované</w:t>
      </w:r>
      <w:r w:rsidR="00D10479" w:rsidRPr="00CB023F">
        <w:t xml:space="preserve"> o </w:t>
      </w:r>
      <w:r w:rsidRPr="00CB023F">
        <w:t>procese prístupovom procese.</w:t>
      </w:r>
    </w:p>
    <w:p w:rsidR="00B71AEC" w:rsidRPr="00CB023F" w:rsidRDefault="00B71AEC" w:rsidP="00B71AEC">
      <w:pPr>
        <w:jc w:val="left"/>
      </w:pPr>
    </w:p>
    <w:p w:rsidR="00B71AEC" w:rsidRPr="00CB023F" w:rsidRDefault="00B71AEC" w:rsidP="00B71AEC">
      <w:pPr>
        <w:pStyle w:val="Nadpis1"/>
        <w:keepNext/>
        <w:jc w:val="left"/>
      </w:pPr>
      <w:r w:rsidRPr="00CB023F">
        <w:rPr>
          <w:b/>
        </w:rPr>
        <w:t>Sociálna stabilita – nezamestnanosť – emigrácia</w:t>
      </w:r>
    </w:p>
    <w:p w:rsidR="00B71AEC" w:rsidRPr="00CB023F" w:rsidRDefault="00B71AEC" w:rsidP="00B71AEC">
      <w:pPr>
        <w:keepNext/>
        <w:ind w:left="567" w:hanging="567"/>
        <w:jc w:val="left"/>
      </w:pPr>
    </w:p>
    <w:p w:rsidR="00D10479" w:rsidRPr="00CB023F" w:rsidRDefault="00B71AEC" w:rsidP="00B71AEC">
      <w:pPr>
        <w:pStyle w:val="Nadpis2"/>
      </w:pPr>
      <w:r w:rsidRPr="00CB023F">
        <w:t>Od začiatku hospodárskej krízy sa spomalila príjmová</w:t>
      </w:r>
      <w:r w:rsidR="00D10479" w:rsidRPr="00CB023F">
        <w:t xml:space="preserve"> a </w:t>
      </w:r>
      <w:r w:rsidRPr="00CB023F">
        <w:t>najmä sociálna konvergencia medzi chudobnejšími</w:t>
      </w:r>
      <w:r w:rsidR="00D10479" w:rsidRPr="00CB023F">
        <w:t xml:space="preserve"> a </w:t>
      </w:r>
      <w:r w:rsidRPr="00CB023F">
        <w:t>bohatšími krajinami</w:t>
      </w:r>
      <w:r w:rsidR="00D10479" w:rsidRPr="00CB023F">
        <w:t xml:space="preserve"> v </w:t>
      </w:r>
      <w:r w:rsidRPr="00CB023F">
        <w:t>EÚ, pričom</w:t>
      </w:r>
      <w:r w:rsidR="00D10479" w:rsidRPr="00CB023F">
        <w:t xml:space="preserve"> v </w:t>
      </w:r>
      <w:r w:rsidRPr="00CB023F">
        <w:t>niektorých prípadoch išla opačným smerom. To podkopáva vlastné ambície EÚ</w:t>
      </w:r>
      <w:r w:rsidR="00D10479" w:rsidRPr="00CB023F">
        <w:t xml:space="preserve"> a </w:t>
      </w:r>
      <w:r w:rsidRPr="00CB023F">
        <w:t>spochybňuje jej príťažlivosť pre budúcich členov. Všetky krajiny západného Balkánu čelia chudobe, vysokej nezamestnanosti, neformálnej ekonomike, nízkym mzdám, korupcii, nezákonnému konaniu, emigrácii kvalifikovaných pracovníkov, diskriminácii menšín</w:t>
      </w:r>
      <w:r w:rsidR="00D10479" w:rsidRPr="00CB023F">
        <w:t xml:space="preserve"> a </w:t>
      </w:r>
      <w:r w:rsidRPr="00CB023F">
        <w:t>odlivu mozgov</w:t>
      </w:r>
      <w:r w:rsidR="00D10479" w:rsidRPr="00CB023F">
        <w:t>.</w:t>
      </w:r>
    </w:p>
    <w:p w:rsidR="00B71AEC" w:rsidRPr="00CB023F" w:rsidRDefault="00B71AEC" w:rsidP="00B71AEC">
      <w:pPr>
        <w:ind w:left="567" w:hanging="567"/>
        <w:jc w:val="left"/>
        <w:outlineLvl w:val="1"/>
      </w:pPr>
    </w:p>
    <w:p w:rsidR="00D10479" w:rsidRPr="00CB023F" w:rsidRDefault="00B71AEC" w:rsidP="00B71AEC">
      <w:pPr>
        <w:pStyle w:val="Nadpis2"/>
      </w:pPr>
      <w:r w:rsidRPr="00CB023F">
        <w:t>Napriek tomu, že krajiny západného Balkánu sa približujú</w:t>
      </w:r>
      <w:r w:rsidR="00D10479" w:rsidRPr="00CB023F">
        <w:t xml:space="preserve"> k </w:t>
      </w:r>
      <w:r w:rsidRPr="00CB023F">
        <w:t>úrovni EÚ-28, ich tempo je pomerne pomalé</w:t>
      </w:r>
      <w:r w:rsidR="00D10479" w:rsidRPr="00CB023F">
        <w:t xml:space="preserve"> a </w:t>
      </w:r>
      <w:r w:rsidRPr="00CB023F">
        <w:t>zaostáva za EÚ.</w:t>
      </w:r>
      <w:r w:rsidR="00D10479" w:rsidRPr="00CB023F">
        <w:t xml:space="preserve"> Z </w:t>
      </w:r>
      <w:r w:rsidRPr="00CB023F">
        <w:t>dostupných údajov vyplýva, že úplné dosiahnutie životnej úrovne EÚ môže trvať až 40 rokov</w:t>
      </w:r>
      <w:r w:rsidR="00D10479" w:rsidRPr="00CB023F">
        <w:t>.</w:t>
      </w:r>
    </w:p>
    <w:p w:rsidR="00B71AEC" w:rsidRPr="00CB023F" w:rsidRDefault="00B71AEC" w:rsidP="00B71AEC">
      <w:pPr>
        <w:ind w:left="567" w:hanging="567"/>
        <w:jc w:val="left"/>
        <w:outlineLvl w:val="1"/>
      </w:pPr>
    </w:p>
    <w:p w:rsidR="00D10479" w:rsidRPr="00CB023F" w:rsidRDefault="00B71AEC" w:rsidP="00B71AEC">
      <w:pPr>
        <w:pStyle w:val="Nadpis2"/>
      </w:pPr>
      <w:r w:rsidRPr="00CB023F">
        <w:lastRenderedPageBreak/>
        <w:t>Ku konvergencii miezd</w:t>
      </w:r>
      <w:r w:rsidR="00D10479" w:rsidRPr="00CB023F">
        <w:t xml:space="preserve"> v </w:t>
      </w:r>
      <w:r w:rsidRPr="00CB023F">
        <w:t>krajinách západného Balkánu nedošlo vôbec.</w:t>
      </w:r>
      <w:r w:rsidR="00D10479" w:rsidRPr="00CB023F">
        <w:t xml:space="preserve"> V </w:t>
      </w:r>
      <w:r w:rsidRPr="00CB023F">
        <w:t>niektorých krajinách sa rozdiely</w:t>
      </w:r>
      <w:r w:rsidR="00D10479" w:rsidRPr="00CB023F">
        <w:t xml:space="preserve"> v </w:t>
      </w:r>
      <w:r w:rsidRPr="00CB023F">
        <w:t>odmeňovaní oproti EÚ dokonca ešte zvýšili, čo má dôsledky pre hospodárske</w:t>
      </w:r>
      <w:r w:rsidR="00D10479" w:rsidRPr="00CB023F">
        <w:t xml:space="preserve"> a </w:t>
      </w:r>
      <w:r w:rsidRPr="00CB023F">
        <w:t>sociálne zabezpečenie občanov krajín západného Balkánu. Väčšina krajín západného Balkánu nepocítila od vypuknutia krízy žiadne zvýšenie reálnych miezd. Aj keď vo všetkých krajinách západného Balkánu existuje zákonom stanovená minimálna mzda,</w:t>
      </w:r>
      <w:r w:rsidR="00D10479" w:rsidRPr="00CB023F">
        <w:t xml:space="preserve"> v </w:t>
      </w:r>
      <w:r w:rsidRPr="00CB023F">
        <w:t>mnohých prípadoch nepokrýva životné minimu pre rodiny</w:t>
      </w:r>
      <w:r w:rsidR="00D10479" w:rsidRPr="00CB023F">
        <w:t>.</w:t>
      </w:r>
    </w:p>
    <w:p w:rsidR="00B71AEC" w:rsidRPr="00CB023F" w:rsidRDefault="00B71AEC" w:rsidP="00B71AEC">
      <w:pPr>
        <w:pStyle w:val="Nadpis2"/>
        <w:numPr>
          <w:ilvl w:val="0"/>
          <w:numId w:val="0"/>
        </w:numPr>
        <w:ind w:left="567" w:hanging="567"/>
      </w:pPr>
    </w:p>
    <w:p w:rsidR="00B71AEC" w:rsidRPr="00CB023F" w:rsidRDefault="00B71AEC" w:rsidP="00B71AEC">
      <w:pPr>
        <w:pStyle w:val="Nadpis2"/>
      </w:pPr>
      <w:r w:rsidRPr="00CB023F">
        <w:t>EHSV tiež poznamenáva, že</w:t>
      </w:r>
      <w:r w:rsidR="00D10479" w:rsidRPr="00CB023F">
        <w:t xml:space="preserve"> v </w:t>
      </w:r>
      <w:r w:rsidRPr="00CB023F">
        <w:t>dôsledku vysokej nezamestnanosti je ešte stále dominantným problémom pracovná migrácia zo všetkých šiestich krajín západného Balkánu. Odhaduje sa, že štvrtina obyvateľstva všetkých šiestich krajín západného Balkánu odišla do zahraničia. Aj keď finančné prostriedky zasielané migrujúcimi pracovníkmi sú dôležitým zdrojom príjmov</w:t>
      </w:r>
      <w:r w:rsidR="00D10479" w:rsidRPr="00CB023F">
        <w:t xml:space="preserve"> a z </w:t>
      </w:r>
      <w:r w:rsidRPr="00CB023F">
        <w:t>krátkodobého hľadiska prispievajú</w:t>
      </w:r>
      <w:r w:rsidR="00D10479" w:rsidRPr="00CB023F">
        <w:t xml:space="preserve"> k </w:t>
      </w:r>
      <w:r w:rsidRPr="00CB023F">
        <w:t>rozvoju domáceho hospodárstva, masová migrácia</w:t>
      </w:r>
      <w:r w:rsidR="00D10479" w:rsidRPr="00CB023F">
        <w:t xml:space="preserve"> a </w:t>
      </w:r>
      <w:r w:rsidRPr="00CB023F">
        <w:t>úbytok obyvateľstva má závažné dlhodobé dôsledky pre potenciál hospodárskeho rozvoja týchto krajín</w:t>
      </w:r>
      <w:r w:rsidRPr="00CB023F">
        <w:rPr>
          <w:rStyle w:val="Odkaznapoznmkupodiarou"/>
        </w:rPr>
        <w:footnoteReference w:id="14"/>
      </w:r>
      <w:r w:rsidRPr="00CB023F">
        <w:t>.</w:t>
      </w:r>
    </w:p>
    <w:p w:rsidR="00B71AEC" w:rsidRPr="00CB023F" w:rsidRDefault="00B71AEC" w:rsidP="00B71AEC">
      <w:pPr>
        <w:ind w:left="567" w:hanging="567"/>
        <w:jc w:val="left"/>
      </w:pPr>
    </w:p>
    <w:p w:rsidR="00D10479" w:rsidRPr="00CB023F" w:rsidRDefault="00B71AEC" w:rsidP="00B71AEC">
      <w:pPr>
        <w:pStyle w:val="Nadpis2"/>
      </w:pPr>
      <w:r w:rsidRPr="00CB023F">
        <w:t>S výnimkou Čiernej Hory sú</w:t>
      </w:r>
      <w:r w:rsidR="00D10479" w:rsidRPr="00CB023F">
        <w:t xml:space="preserve"> v </w:t>
      </w:r>
      <w:r w:rsidRPr="00CB023F">
        <w:t>regióne západného Balkánu poklesom úrovne zamestnanosti najviac postihnutí mladí ľudia</w:t>
      </w:r>
      <w:r w:rsidR="00D10479" w:rsidRPr="00CB023F">
        <w:t xml:space="preserve"> s </w:t>
      </w:r>
      <w:r w:rsidRPr="00CB023F">
        <w:t>nízkou kvalifikáciou</w:t>
      </w:r>
      <w:r w:rsidR="00D10479" w:rsidRPr="00CB023F">
        <w:t xml:space="preserve"> a </w:t>
      </w:r>
      <w:r w:rsidRPr="00CB023F">
        <w:t>ženy. Dôležitá je aj skutočnosť, že</w:t>
      </w:r>
      <w:r w:rsidR="00D10479" w:rsidRPr="00CB023F">
        <w:t xml:space="preserve"> v </w:t>
      </w:r>
      <w:r w:rsidRPr="00CB023F">
        <w:t>roku 2015 bolo viac ako 70</w:t>
      </w:r>
      <w:r w:rsidR="00D10479" w:rsidRPr="00CB023F">
        <w:t> %</w:t>
      </w:r>
      <w:r w:rsidRPr="00CB023F">
        <w:t xml:space="preserve"> nezamestnaných vo všetkých šiestich krajinách západného Balkánu bez práce</w:t>
      </w:r>
      <w:r w:rsidR="00D10479" w:rsidRPr="00CB023F">
        <w:t xml:space="preserve"> v </w:t>
      </w:r>
      <w:r w:rsidRPr="00CB023F">
        <w:t>priemere dlhšie ako jeden rok</w:t>
      </w:r>
      <w:r w:rsidRPr="00CB023F">
        <w:rPr>
          <w:rStyle w:val="Odkaznapoznmkupodiarou"/>
        </w:rPr>
        <w:footnoteReference w:id="15"/>
      </w:r>
      <w:r w:rsidR="00D10479" w:rsidRPr="00CB023F">
        <w:t>.</w:t>
      </w:r>
    </w:p>
    <w:p w:rsidR="00B71AEC" w:rsidRPr="00CB023F" w:rsidRDefault="00B71AEC" w:rsidP="00E67A13">
      <w:pPr>
        <w:ind w:left="567" w:hanging="567"/>
      </w:pPr>
    </w:p>
    <w:p w:rsidR="00D10479" w:rsidRPr="00CB023F" w:rsidRDefault="00B71AEC" w:rsidP="00B71AEC">
      <w:pPr>
        <w:pStyle w:val="Nadpis2"/>
      </w:pPr>
      <w:r w:rsidRPr="00CB023F">
        <w:t>EHSV je presvedčený, že EÚ</w:t>
      </w:r>
      <w:r w:rsidR="00D10479" w:rsidRPr="00CB023F">
        <w:t xml:space="preserve"> a </w:t>
      </w:r>
      <w:r w:rsidRPr="00CB023F">
        <w:t>krajiny západného Balkánu by mali venovať väčšiu pozornosť kvalite života</w:t>
      </w:r>
      <w:r w:rsidR="00D10479" w:rsidRPr="00CB023F">
        <w:t xml:space="preserve"> a </w:t>
      </w:r>
      <w:r w:rsidRPr="00CB023F">
        <w:t>sociálneho zabezpečenia občanov týchto krajín. EHSV navrhuje, aby sa zvážila možnosť uplatňovať zásady Európskeho piliera sociálnych práv pri posudzovaní splnenia podmienok pre členstvo</w:t>
      </w:r>
      <w:r w:rsidR="00D10479" w:rsidRPr="00CB023F">
        <w:t xml:space="preserve"> v </w:t>
      </w:r>
      <w:r w:rsidRPr="00CB023F">
        <w:t>EÚ. Komisia by tiež mohla vytvoriť konkrétne programy, ktoré by krajinám západného Balkánu umožnili dosiahnuť rýchlejšiu sociálnu konvergenciu</w:t>
      </w:r>
      <w:r w:rsidR="00D10479" w:rsidRPr="00CB023F">
        <w:t>.</w:t>
      </w:r>
    </w:p>
    <w:p w:rsidR="00B71AEC" w:rsidRPr="00CB023F" w:rsidRDefault="00B71AEC" w:rsidP="00E67A13">
      <w:pPr>
        <w:ind w:left="567" w:hanging="567"/>
      </w:pPr>
    </w:p>
    <w:p w:rsidR="00B71AEC" w:rsidRPr="00CB023F" w:rsidRDefault="00B71AEC" w:rsidP="00B71AEC">
      <w:pPr>
        <w:pStyle w:val="Nadpis2"/>
      </w:pPr>
      <w:r w:rsidRPr="00CB023F">
        <w:t>EHSV taktiež vyjadruje očakávanie, že treba viac posilňovať konkurencieschopnosť</w:t>
      </w:r>
      <w:r w:rsidR="00D10479" w:rsidRPr="00CB023F">
        <w:t xml:space="preserve"> a </w:t>
      </w:r>
      <w:r w:rsidRPr="00CB023F">
        <w:t>zlepšiť štrukturálne reformy vo všetkých šiestich krajinách západného Balkánu</w:t>
      </w:r>
      <w:r w:rsidR="00D10479" w:rsidRPr="00CB023F">
        <w:t xml:space="preserve"> s </w:t>
      </w:r>
      <w:r w:rsidRPr="00CB023F">
        <w:t>cieľom posilniť trh práce</w:t>
      </w:r>
      <w:r w:rsidR="00D10479" w:rsidRPr="00CB023F">
        <w:t xml:space="preserve"> a </w:t>
      </w:r>
      <w:r w:rsidRPr="00CB023F">
        <w:t>spomaliť emigráciu. Pri príprave štrukturálnych reforiem by mali byť konzultované organizácie občianskej spoločnosti</w:t>
      </w:r>
      <w:r w:rsidRPr="00CB023F">
        <w:rPr>
          <w:rStyle w:val="Odkaznapoznmkupodiarou"/>
        </w:rPr>
        <w:footnoteReference w:id="16"/>
      </w:r>
      <w:r w:rsidRPr="00CB023F">
        <w:t>.</w:t>
      </w:r>
    </w:p>
    <w:p w:rsidR="00B71AEC" w:rsidRPr="00CB023F" w:rsidRDefault="00B71AEC" w:rsidP="00E67A13">
      <w:pPr>
        <w:ind w:left="567" w:hanging="567"/>
      </w:pPr>
    </w:p>
    <w:p w:rsidR="00D10479" w:rsidRPr="00CB023F" w:rsidRDefault="00B71AEC" w:rsidP="00B71AEC">
      <w:pPr>
        <w:pStyle w:val="Nadpis2"/>
      </w:pPr>
      <w:r w:rsidRPr="00CB023F">
        <w:t>EHSV zdôrazňuje, že vývoj na trhu práce</w:t>
      </w:r>
      <w:r w:rsidR="00D10479" w:rsidRPr="00CB023F">
        <w:t xml:space="preserve"> v </w:t>
      </w:r>
      <w:r w:rsidRPr="00CB023F">
        <w:t>regióne vykazuje vysokú mieru nečinnosti žien</w:t>
      </w:r>
      <w:r w:rsidR="00D10479" w:rsidRPr="00CB023F">
        <w:t xml:space="preserve"> a </w:t>
      </w:r>
      <w:r w:rsidRPr="00CB023F">
        <w:t>vyzýva vlády, aby prijali podporné opatrenia</w:t>
      </w:r>
      <w:r w:rsidR="00D10479" w:rsidRPr="00CB023F">
        <w:t xml:space="preserve"> s </w:t>
      </w:r>
      <w:r w:rsidRPr="00CB023F">
        <w:t>cieľom zabezpečiť vyššiu úroveň zamestnanosti žien. EHSV takisto nabáda Komisiu, aby zahrnula rodovú rovnosť medzi hlavné priority</w:t>
      </w:r>
      <w:r w:rsidR="00D10479" w:rsidRPr="00CB023F">
        <w:t xml:space="preserve"> v </w:t>
      </w:r>
      <w:r w:rsidRPr="00CB023F">
        <w:t>prístupových rokovaniach EÚ</w:t>
      </w:r>
      <w:r w:rsidR="00D10479" w:rsidRPr="00CB023F">
        <w:t xml:space="preserve"> s </w:t>
      </w:r>
      <w:r w:rsidRPr="00CB023F">
        <w:t>krajinami západného Balkánu</w:t>
      </w:r>
      <w:r w:rsidR="00D10479" w:rsidRPr="00CB023F">
        <w:t>.</w:t>
      </w:r>
    </w:p>
    <w:p w:rsidR="00917A3A" w:rsidRPr="00CB023F" w:rsidRDefault="00917A3A" w:rsidP="00917A3A"/>
    <w:p w:rsidR="00B71AEC" w:rsidRPr="00CB023F" w:rsidRDefault="00B71AEC" w:rsidP="00E67A13">
      <w:pPr>
        <w:pStyle w:val="Nadpis2"/>
      </w:pPr>
      <w:r w:rsidRPr="00CB023F">
        <w:lastRenderedPageBreak/>
        <w:t>EHSV je presvedčený, že dodržiavanie práv menšín</w:t>
      </w:r>
      <w:r w:rsidR="00D10479" w:rsidRPr="00CB023F">
        <w:t xml:space="preserve"> a </w:t>
      </w:r>
      <w:r w:rsidRPr="00CB023F">
        <w:t>rešpektovanie ich kultúry je základom pre rozvoj demokratickej občianskej spoločnosti vo všetkých krajinách západného Balkánu.</w:t>
      </w:r>
    </w:p>
    <w:p w:rsidR="00B71AEC" w:rsidRPr="00CB023F" w:rsidRDefault="00B71AEC" w:rsidP="00B71AEC">
      <w:pPr>
        <w:ind w:left="567" w:hanging="567"/>
      </w:pPr>
    </w:p>
    <w:p w:rsidR="00D10479" w:rsidRPr="00CB023F" w:rsidRDefault="00B71AEC" w:rsidP="00B71AEC">
      <w:pPr>
        <w:pStyle w:val="Nadpis2"/>
      </w:pPr>
      <w:r w:rsidRPr="00CB023F">
        <w:t>EHSV sa domnieva, že úloha vzdelávania vo všetkých krajinách západného Balkánu má zásadný význam</w:t>
      </w:r>
      <w:r w:rsidR="00D10479" w:rsidRPr="00CB023F">
        <w:t xml:space="preserve"> z </w:t>
      </w:r>
      <w:r w:rsidRPr="00CB023F">
        <w:t>hľadiska podpory európskych hodnôt, rozvoja zmyslu pre toleranciu voči príslušníkom menšín, boja proti predsudkom</w:t>
      </w:r>
      <w:r w:rsidR="00D10479" w:rsidRPr="00CB023F">
        <w:t xml:space="preserve"> a </w:t>
      </w:r>
      <w:r w:rsidRPr="00CB023F">
        <w:t>posilnenia sociálnej súdržnosti</w:t>
      </w:r>
      <w:r w:rsidR="00D10479" w:rsidRPr="00CB023F">
        <w:t>.</w:t>
      </w:r>
    </w:p>
    <w:p w:rsidR="00B71AEC" w:rsidRPr="00CB023F" w:rsidRDefault="00B71AEC" w:rsidP="00B71AEC">
      <w:pPr>
        <w:ind w:left="567" w:hanging="567"/>
      </w:pPr>
    </w:p>
    <w:p w:rsidR="00B71AEC" w:rsidRPr="00CB023F" w:rsidRDefault="00A23954" w:rsidP="00B71AEC">
      <w:pPr>
        <w:pStyle w:val="Nadpis2"/>
      </w:pPr>
      <w:r w:rsidRPr="00CB023F">
        <w:t>EHSV je tiež presvedčený, že „program sociálnej súdržnosti“ musí odstrániť nedostatok zručností</w:t>
      </w:r>
      <w:r w:rsidR="00D10479" w:rsidRPr="00CB023F">
        <w:t xml:space="preserve"> a </w:t>
      </w:r>
      <w:r w:rsidRPr="00CB023F">
        <w:t>nesúlad medzi ponúkanými</w:t>
      </w:r>
      <w:r w:rsidR="00D10479" w:rsidRPr="00CB023F">
        <w:t xml:space="preserve"> a </w:t>
      </w:r>
      <w:r w:rsidRPr="00CB023F">
        <w:t>požadovanými zručnosťami zvýšením efektívnosti</w:t>
      </w:r>
      <w:r w:rsidR="00D10479" w:rsidRPr="00CB023F">
        <w:t xml:space="preserve"> a </w:t>
      </w:r>
      <w:r w:rsidRPr="00CB023F">
        <w:t>účinnosti systémov vzdelávania. Zvýšená finančná podpora programov odborného vzdelávania by pomohla riešiť nesúlad medzi ponúkanými</w:t>
      </w:r>
      <w:r w:rsidR="00D10479" w:rsidRPr="00CB023F">
        <w:t xml:space="preserve"> a </w:t>
      </w:r>
      <w:r w:rsidRPr="00CB023F">
        <w:t>požadovanými zručnosťami na trhu práce</w:t>
      </w:r>
      <w:r w:rsidR="00D10479" w:rsidRPr="00CB023F">
        <w:t xml:space="preserve"> a </w:t>
      </w:r>
      <w:r w:rsidRPr="00CB023F">
        <w:t>znížila by vysokú mieru nezamestnanosti.</w:t>
      </w:r>
    </w:p>
    <w:p w:rsidR="00B71AEC" w:rsidRPr="00CB023F" w:rsidRDefault="00B71AEC" w:rsidP="001A1A12"/>
    <w:p w:rsidR="00D10479" w:rsidRPr="00CB023F" w:rsidRDefault="00B71AEC" w:rsidP="00B71AEC">
      <w:pPr>
        <w:pStyle w:val="Nadpis2"/>
      </w:pPr>
      <w:r w:rsidRPr="00CB023F">
        <w:t>EHSV víta iniciatívy zo strany štátnych vzdelávacích</w:t>
      </w:r>
      <w:r w:rsidR="00D10479" w:rsidRPr="00CB023F">
        <w:t xml:space="preserve"> a </w:t>
      </w:r>
      <w:r w:rsidRPr="00CB023F">
        <w:t>kultúrnych inštitúcií, akademickej obce či organizácií občianskej spoločnosti zamerané na zmierenie, dobré susedské vzťahy</w:t>
      </w:r>
      <w:r w:rsidR="00D10479" w:rsidRPr="00CB023F">
        <w:t xml:space="preserve"> a </w:t>
      </w:r>
      <w:r w:rsidRPr="00CB023F">
        <w:t>kritický prístup</w:t>
      </w:r>
      <w:r w:rsidR="00D10479" w:rsidRPr="00CB023F">
        <w:t xml:space="preserve"> k </w:t>
      </w:r>
      <w:r w:rsidRPr="00CB023F">
        <w:t>minulosti</w:t>
      </w:r>
      <w:r w:rsidR="00D10479" w:rsidRPr="00CB023F">
        <w:t>.</w:t>
      </w:r>
    </w:p>
    <w:p w:rsidR="00AB00BF" w:rsidRPr="00CB023F" w:rsidRDefault="00AB00BF" w:rsidP="001A1A12">
      <w:pPr>
        <w:ind w:left="567" w:hanging="567"/>
      </w:pPr>
    </w:p>
    <w:p w:rsidR="00646AC2" w:rsidRPr="00CB023F" w:rsidRDefault="00646AC2" w:rsidP="00010879">
      <w:pPr>
        <w:jc w:val="center"/>
      </w:pPr>
      <w:r w:rsidRPr="00CB023F">
        <w:t>_____________</w:t>
      </w:r>
    </w:p>
    <w:sectPr w:rsidR="00646AC2" w:rsidRPr="00CB023F" w:rsidSect="00CB023F">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D74" w:rsidRDefault="00DF3D74">
      <w:r>
        <w:separator/>
      </w:r>
    </w:p>
  </w:endnote>
  <w:endnote w:type="continuationSeparator" w:id="0">
    <w:p w:rsidR="00DF3D74" w:rsidRDefault="00DF3D74">
      <w:r>
        <w:continuationSeparator/>
      </w:r>
    </w:p>
  </w:endnote>
  <w:endnote w:type="continuationNotice" w:id="1">
    <w:p w:rsidR="00DF3D74" w:rsidRDefault="00DF3D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r>
      <w:t xml:space="preserve">REX/497 – EESC-2017-04948-00-00-PA-TRA (EN) </w:t>
    </w:r>
    <w:r>
      <w:fldChar w:fldCharType="begin"/>
    </w:r>
    <w:r>
      <w:instrText xml:space="preserve"> PAGE  \* Arabic  \* MERGEFORMAT </w:instrText>
    </w:r>
    <w:r>
      <w:fldChar w:fldCharType="separate"/>
    </w:r>
    <w:r w:rsidR="004532E4">
      <w:rPr>
        <w:noProof/>
      </w:rPr>
      <w:t>1</w:t>
    </w:r>
    <w:r>
      <w:fldChar w:fldCharType="end"/>
    </w:r>
    <w:r>
      <w:t>/</w:t>
    </w:r>
    <w:r>
      <w:fldChar w:fldCharType="begin"/>
    </w:r>
    <w:r>
      <w:instrText xml:space="preserve"> = </w:instrText>
    </w:r>
    <w:r w:rsidR="00DF3D74">
      <w:fldChar w:fldCharType="begin"/>
    </w:r>
    <w:r w:rsidR="00DF3D74">
      <w:instrText xml:space="preserve"> NUMPAGES </w:instrText>
    </w:r>
    <w:r w:rsidR="00DF3D74">
      <w:fldChar w:fldCharType="separate"/>
    </w:r>
    <w:r w:rsidR="00463D00">
      <w:rPr>
        <w:noProof/>
      </w:rPr>
      <w:instrText>11</w:instrText>
    </w:r>
    <w:r w:rsidR="00DF3D74">
      <w:rPr>
        <w:noProof/>
      </w:rPr>
      <w:fldChar w:fldCharType="end"/>
    </w:r>
    <w:r>
      <w:instrText xml:space="preserve"> -0 </w:instrText>
    </w:r>
    <w:r>
      <w:fldChar w:fldCharType="separate"/>
    </w:r>
    <w:r w:rsidR="00463D00">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r>
      <w:t xml:space="preserve">REX/497 – EESC-2017-04948-00-00-PA-TRA (EN) </w:t>
    </w:r>
    <w:r>
      <w:fldChar w:fldCharType="begin"/>
    </w:r>
    <w:r>
      <w:instrText xml:space="preserve"> PAGE  \* Arabic  \* MERGEFORMAT </w:instrText>
    </w:r>
    <w:r>
      <w:fldChar w:fldCharType="separate"/>
    </w:r>
    <w:r w:rsidR="004532E4">
      <w:rPr>
        <w:noProof/>
      </w:rPr>
      <w:t>2</w:t>
    </w:r>
    <w:r>
      <w:fldChar w:fldCharType="end"/>
    </w:r>
    <w:r>
      <w:t>/</w:t>
    </w:r>
    <w:r>
      <w:fldChar w:fldCharType="begin"/>
    </w:r>
    <w:r>
      <w:instrText xml:space="preserve"> = </w:instrText>
    </w:r>
    <w:r w:rsidR="00DF3D74">
      <w:fldChar w:fldCharType="begin"/>
    </w:r>
    <w:r w:rsidR="00DF3D74">
      <w:instrText xml:space="preserve"> NUMPAGES </w:instrText>
    </w:r>
    <w:r w:rsidR="00DF3D74">
      <w:fldChar w:fldCharType="separate"/>
    </w:r>
    <w:r w:rsidR="00463D00">
      <w:rPr>
        <w:noProof/>
      </w:rPr>
      <w:instrText>11</w:instrText>
    </w:r>
    <w:r w:rsidR="00DF3D74">
      <w:rPr>
        <w:noProof/>
      </w:rPr>
      <w:fldChar w:fldCharType="end"/>
    </w:r>
    <w:r>
      <w:instrText xml:space="preserve"> -0 </w:instrText>
    </w:r>
    <w:r>
      <w:fldChar w:fldCharType="separate"/>
    </w:r>
    <w:r w:rsidR="00463D00">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D74" w:rsidRDefault="00DF3D74">
      <w:r>
        <w:separator/>
      </w:r>
    </w:p>
  </w:footnote>
  <w:footnote w:type="continuationSeparator" w:id="0">
    <w:p w:rsidR="00DF3D74" w:rsidRDefault="00DF3D74">
      <w:r>
        <w:continuationSeparator/>
      </w:r>
    </w:p>
  </w:footnote>
  <w:footnote w:type="continuationNotice" w:id="1">
    <w:p w:rsidR="00DF3D74" w:rsidRDefault="00DF3D74">
      <w:pPr>
        <w:spacing w:line="240" w:lineRule="auto"/>
      </w:pPr>
    </w:p>
  </w:footnote>
  <w:footnote w:id="2">
    <w:p w:rsidR="00CB023F" w:rsidRPr="00D10479" w:rsidRDefault="00CB023F" w:rsidP="00B71AEC">
      <w:pPr>
        <w:pStyle w:val="Textpoznmkypodiarou"/>
        <w:rPr>
          <w:szCs w:val="16"/>
          <w:highlight w:val="green"/>
        </w:rPr>
      </w:pPr>
      <w:r w:rsidRPr="00D10479">
        <w:t>1</w:t>
      </w:r>
      <w:r w:rsidRPr="00D10479">
        <w:tab/>
        <w:t>Základné zásady stratégie EÚ pre krajiny západného Balkánu Komisia stanovila 6</w:t>
      </w:r>
      <w:r>
        <w:t>. februára</w:t>
      </w:r>
      <w:r w:rsidRPr="00D10479">
        <w:t xml:space="preserve"> 2018 vo svojom oznámení </w:t>
      </w:r>
      <w:hyperlink r:id="rId1">
        <w:r w:rsidRPr="00D10479">
          <w:rPr>
            <w:rStyle w:val="Hypertextovprepojenie"/>
          </w:rPr>
          <w:t>Dôveryhodná perspektíva rozšírenia pre krajiny západného Balkánu</w:t>
        </w:r>
        <w:r>
          <w:rPr>
            <w:rStyle w:val="Hypertextovprepojenie"/>
          </w:rPr>
          <w:t xml:space="preserve"> a </w:t>
        </w:r>
        <w:r w:rsidRPr="00D10479">
          <w:rPr>
            <w:rStyle w:val="Hypertextovprepojenie"/>
          </w:rPr>
          <w:t>väčšia angažovanosť EÚ</w:t>
        </w:r>
        <w:r>
          <w:rPr>
            <w:rStyle w:val="Hypertextovprepojenie"/>
          </w:rPr>
          <w:t xml:space="preserve"> v </w:t>
        </w:r>
        <w:r w:rsidRPr="00D10479">
          <w:rPr>
            <w:rStyle w:val="Hypertextovprepojenie"/>
          </w:rPr>
          <w:t>tejto oblasti</w:t>
        </w:r>
      </w:hyperlink>
      <w:r w:rsidRPr="00D10479">
        <w:t>, COM(2018) 65 final.</w:t>
      </w:r>
    </w:p>
  </w:footnote>
  <w:footnote w:id="3">
    <w:p w:rsidR="00CB023F" w:rsidRPr="00D10479" w:rsidRDefault="00CB023F" w:rsidP="00C7489B">
      <w:pPr>
        <w:pStyle w:val="Textpoznmkypodiarou"/>
      </w:pPr>
      <w:r w:rsidRPr="00D10479">
        <w:rPr>
          <w:rStyle w:val="Odkaznapoznmkupodiarou"/>
        </w:rPr>
        <w:footnoteRef/>
      </w:r>
      <w:r w:rsidRPr="00D10479">
        <w:t xml:space="preserve"> </w:t>
      </w:r>
      <w:r w:rsidRPr="00D10479">
        <w:tab/>
        <w:t>V súlade so zaužívanou terminológiou EHSV pojmy „občianska spoločnosť“</w:t>
      </w:r>
      <w:r>
        <w:t xml:space="preserve"> a </w:t>
      </w:r>
      <w:r w:rsidRPr="00D10479">
        <w:t>„organizácie občianskej spoločnosti“</w:t>
      </w:r>
      <w:r>
        <w:t xml:space="preserve"> v </w:t>
      </w:r>
      <w:r w:rsidRPr="00D10479">
        <w:t>tomto stanovisku zahŕňajú sociálnych partnerov (t. j. zamestnávateľov</w:t>
      </w:r>
      <w:r>
        <w:t xml:space="preserve"> a </w:t>
      </w:r>
      <w:r w:rsidRPr="00D10479">
        <w:t>odborové zväzy)</w:t>
      </w:r>
      <w:r>
        <w:t xml:space="preserve"> a </w:t>
      </w:r>
      <w:r w:rsidRPr="00D10479">
        <w:t>iné neštátne subjekty.</w:t>
      </w:r>
    </w:p>
  </w:footnote>
  <w:footnote w:id="4">
    <w:p w:rsidR="00CB023F" w:rsidRPr="00D10479" w:rsidRDefault="00CB023F" w:rsidP="00C948D5">
      <w:pPr>
        <w:pStyle w:val="Textpoznmkypodiarou"/>
      </w:pPr>
      <w:r w:rsidRPr="00D10479">
        <w:rPr>
          <w:rStyle w:val="Odkaznapoznmkupodiarou"/>
        </w:rPr>
        <w:footnoteRef/>
      </w:r>
      <w:r w:rsidRPr="00D10479">
        <w:tab/>
      </w:r>
      <w:hyperlink r:id="rId2">
        <w:r w:rsidRPr="00D10479">
          <w:rPr>
            <w:rStyle w:val="Hypertextovprepojenie"/>
          </w:rPr>
          <w:t>COM(2018) 65 final, 6.2.2018</w:t>
        </w:r>
      </w:hyperlink>
    </w:p>
  </w:footnote>
  <w:footnote w:id="5">
    <w:p w:rsidR="00CB023F" w:rsidRPr="00D10479" w:rsidRDefault="00CB023F" w:rsidP="009F7FD5">
      <w:pPr>
        <w:pStyle w:val="Textpoznmkypodiarou"/>
      </w:pPr>
      <w:r w:rsidRPr="00D10479">
        <w:rPr>
          <w:rStyle w:val="Odkaznapoznmkupodiarou"/>
        </w:rPr>
        <w:footnoteRef/>
      </w:r>
      <w:r w:rsidRPr="00D10479">
        <w:tab/>
      </w:r>
      <w:hyperlink r:id="rId3">
        <w:r w:rsidRPr="00D10479">
          <w:rPr>
            <w:rStyle w:val="Hypertextovprepojenie"/>
          </w:rPr>
          <w:t>Stanovisko EHSV na tému Stratégia rozširovania EÚ</w:t>
        </w:r>
      </w:hyperlink>
      <w:r w:rsidRPr="00D10479">
        <w:t xml:space="preserve"> </w:t>
      </w:r>
    </w:p>
  </w:footnote>
  <w:footnote w:id="6">
    <w:p w:rsidR="00CB023F" w:rsidRPr="00D10479" w:rsidRDefault="00CB023F" w:rsidP="00B71AEC">
      <w:pPr>
        <w:pStyle w:val="Textpoznmkypodiarou"/>
      </w:pPr>
      <w:r w:rsidRPr="00D10479">
        <w:rPr>
          <w:rStyle w:val="Odkaznapoznmkupodiarou"/>
        </w:rPr>
        <w:footnoteRef/>
      </w:r>
      <w:r w:rsidRPr="00D10479">
        <w:rPr>
          <w:rStyle w:val="Odkaznapoznmkupodiarou"/>
        </w:rPr>
        <w:t xml:space="preserve"> </w:t>
      </w:r>
      <w:r w:rsidRPr="00D10479">
        <w:tab/>
      </w:r>
      <w:hyperlink r:id="rId4">
        <w:r w:rsidRPr="00D10479">
          <w:rPr>
            <w:rStyle w:val="Hypertextovprepojenie"/>
          </w:rPr>
          <w:t>http://shtetiweb.org/berlin-process/</w:t>
        </w:r>
      </w:hyperlink>
      <w:r w:rsidRPr="00D10479">
        <w:t>.</w:t>
      </w:r>
    </w:p>
  </w:footnote>
  <w:footnote w:id="7">
    <w:p w:rsidR="00CB023F" w:rsidRPr="00D10479" w:rsidRDefault="00CB023F">
      <w:pPr>
        <w:pStyle w:val="Textpoznmkypodiarou"/>
      </w:pPr>
      <w:r w:rsidRPr="00D10479">
        <w:rPr>
          <w:rStyle w:val="Odkaznapoznmkupodiarou"/>
        </w:rPr>
        <w:footnoteRef/>
      </w:r>
      <w:r w:rsidRPr="00D10479">
        <w:t xml:space="preserve"> </w:t>
      </w:r>
      <w:r w:rsidRPr="00D10479">
        <w:tab/>
      </w:r>
      <w:hyperlink r:id="rId5">
        <w:r w:rsidRPr="00D10479">
          <w:rPr>
            <w:rStyle w:val="Hypertextovprepojenie"/>
          </w:rPr>
          <w:t>EESC opinion EU Enlargement Strategy</w:t>
        </w:r>
      </w:hyperlink>
    </w:p>
  </w:footnote>
  <w:footnote w:id="8">
    <w:p w:rsidR="00CB023F" w:rsidRPr="00D10479" w:rsidRDefault="00CB023F" w:rsidP="00B71AEC">
      <w:pPr>
        <w:pStyle w:val="Textpoznmkypodiarou"/>
      </w:pPr>
      <w:r w:rsidRPr="00D10479">
        <w:rPr>
          <w:rStyle w:val="Odkaznapoznmkupodiarou"/>
        </w:rPr>
        <w:footnoteRef/>
      </w:r>
      <w:r w:rsidRPr="00D10479">
        <w:rPr>
          <w:rStyle w:val="Odkaznapoznmkupodiarou"/>
        </w:rPr>
        <w:t xml:space="preserve"> </w:t>
      </w:r>
      <w:r w:rsidRPr="00D10479">
        <w:tab/>
      </w:r>
      <w:hyperlink r:id="rId6">
        <w:r w:rsidRPr="00D10479">
          <w:rPr>
            <w:rStyle w:val="Hypertextovprepojenie"/>
          </w:rPr>
          <w:t>https://ec.europa.eu/neighbourhood-enlargement/policy/glossary/terms/accession-criteria_en</w:t>
        </w:r>
      </w:hyperlink>
      <w:r w:rsidRPr="00D10479">
        <w:t>.</w:t>
      </w:r>
    </w:p>
  </w:footnote>
  <w:footnote w:id="9">
    <w:p w:rsidR="00CB023F" w:rsidRPr="00D10479" w:rsidRDefault="00CB023F">
      <w:pPr>
        <w:pStyle w:val="Textpoznmkypodiarou"/>
      </w:pPr>
      <w:r w:rsidRPr="00D10479">
        <w:rPr>
          <w:rStyle w:val="Odkaznapoznmkupodiarou"/>
        </w:rPr>
        <w:footnoteRef/>
      </w:r>
      <w:r w:rsidRPr="00D10479">
        <w:tab/>
      </w:r>
      <w:hyperlink r:id="rId7">
        <w:r w:rsidRPr="00D10479">
          <w:rPr>
            <w:rStyle w:val="Hypertextovprepojenie"/>
          </w:rPr>
          <w:t>Stanovisko EHSV na tému Stratégia rozširovania EÚ</w:t>
        </w:r>
      </w:hyperlink>
    </w:p>
  </w:footnote>
  <w:footnote w:id="10">
    <w:p w:rsidR="00CB023F" w:rsidRPr="00D10479" w:rsidRDefault="00CB023F">
      <w:pPr>
        <w:pStyle w:val="Textpoznmkypodiarou"/>
      </w:pPr>
      <w:r w:rsidRPr="00D10479">
        <w:rPr>
          <w:rStyle w:val="Odkaznapoznmkupodiarou"/>
        </w:rPr>
        <w:footnoteRef/>
      </w:r>
      <w:r w:rsidRPr="00D10479">
        <w:tab/>
      </w:r>
      <w:hyperlink r:id="rId8">
        <w:r w:rsidRPr="00D10479">
          <w:rPr>
            <w:rStyle w:val="Hypertextovprepojenie"/>
          </w:rPr>
          <w:t>Stanovisko EHSV na tému Stratégia rozširovania EÚ</w:t>
        </w:r>
      </w:hyperlink>
    </w:p>
  </w:footnote>
  <w:footnote w:id="11">
    <w:p w:rsidR="00CB023F" w:rsidRPr="00D10479" w:rsidRDefault="00CB023F" w:rsidP="00B71AEC">
      <w:pPr>
        <w:pStyle w:val="Textpoznmkypodiarou"/>
      </w:pPr>
      <w:r w:rsidRPr="00D10479">
        <w:rPr>
          <w:rStyle w:val="Odkaznapoznmkupodiarou"/>
        </w:rPr>
        <w:footnoteRef/>
      </w:r>
      <w:r w:rsidRPr="00D10479">
        <w:rPr>
          <w:rStyle w:val="Odkaznapoznmkupodiarou"/>
        </w:rPr>
        <w:t xml:space="preserve"> </w:t>
      </w:r>
      <w:r w:rsidRPr="00D10479">
        <w:tab/>
      </w:r>
      <w:hyperlink r:id="rId9">
        <w:r w:rsidRPr="00D10479">
          <w:rPr>
            <w:rStyle w:val="Hypertextovprepojenie"/>
          </w:rPr>
          <w:t>http://wbcti.wb-iisg.com/</w:t>
        </w:r>
      </w:hyperlink>
      <w:r w:rsidRPr="00D10479">
        <w:t xml:space="preserve">, </w:t>
      </w:r>
      <w:hyperlink r:id="rId10">
        <w:r w:rsidRPr="00D10479">
          <w:rPr>
            <w:rStyle w:val="Hypertextovprepojenie"/>
          </w:rPr>
          <w:t>https://ec.europa.eu/neighbourhood-enlargement/sites/near/files/ipa_ii_2016_039-858.13_mc_pcve.pdf</w:t>
        </w:r>
      </w:hyperlink>
      <w:r w:rsidRPr="00D10479">
        <w:t xml:space="preserve">. </w:t>
      </w:r>
    </w:p>
  </w:footnote>
  <w:footnote w:id="12">
    <w:p w:rsidR="00CB023F" w:rsidRPr="00D10479" w:rsidRDefault="00CB023F" w:rsidP="00B71AEC">
      <w:pPr>
        <w:pStyle w:val="Textpoznmkypodiarou"/>
      </w:pPr>
      <w:r w:rsidRPr="00D10479">
        <w:rPr>
          <w:rStyle w:val="Odkaznapoznmkupodiarou"/>
        </w:rPr>
        <w:footnoteRef/>
      </w:r>
      <w:r w:rsidRPr="00D10479">
        <w:t xml:space="preserve"> </w:t>
      </w:r>
      <w:r w:rsidRPr="00D10479">
        <w:tab/>
      </w:r>
      <w:hyperlink r:id="rId11">
        <w:r w:rsidRPr="00D10479">
          <w:rPr>
            <w:rStyle w:val="Hypertextovprepojenie"/>
          </w:rPr>
          <w:t>Záverečné vyhlásenie zo 6. fóra občianskej spoločnosti krajín západného Balkánu.</w:t>
        </w:r>
      </w:hyperlink>
    </w:p>
  </w:footnote>
  <w:footnote w:id="13">
    <w:p w:rsidR="00CB023F" w:rsidRPr="00D10479" w:rsidRDefault="00CB023F" w:rsidP="00B71AEC">
      <w:pPr>
        <w:pStyle w:val="Textpoznmkypodiarou"/>
      </w:pPr>
      <w:r w:rsidRPr="00D10479">
        <w:rPr>
          <w:rStyle w:val="Odkaznapoznmkupodiarou"/>
        </w:rPr>
        <w:footnoteRef/>
      </w:r>
      <w:r w:rsidRPr="00D10479">
        <w:rPr>
          <w:rStyle w:val="Odkaznapoznmkupodiarou"/>
        </w:rPr>
        <w:t xml:space="preserve"> </w:t>
      </w:r>
      <w:r w:rsidRPr="00D10479">
        <w:tab/>
      </w:r>
      <w:hyperlink r:id="rId12">
        <w:r w:rsidRPr="00D10479">
          <w:rPr>
            <w:rStyle w:val="Hypertextovprepojenie"/>
          </w:rPr>
          <w:t xml:space="preserve">Skupina Svetovej banky, </w:t>
        </w:r>
        <w:r w:rsidRPr="004532E4">
          <w:rPr>
            <w:rStyle w:val="Hypertextovprepojenie"/>
            <w:i/>
            <w:lang w:val="en-GB"/>
          </w:rPr>
          <w:t>The Western Balkans</w:t>
        </w:r>
        <w:r w:rsidRPr="004532E4">
          <w:rPr>
            <w:rStyle w:val="Hypertextovprepojenie"/>
            <w:lang w:val="en-GB"/>
          </w:rPr>
          <w:t xml:space="preserve">: </w:t>
        </w:r>
        <w:r w:rsidRPr="004532E4">
          <w:rPr>
            <w:rStyle w:val="Hypertextovprepojenie"/>
            <w:i/>
            <w:lang w:val="en-GB"/>
          </w:rPr>
          <w:t>Revving up the Engines of Growth and Prosperity</w:t>
        </w:r>
        <w:r w:rsidRPr="004532E4">
          <w:rPr>
            <w:rStyle w:val="Hypertextovprepojenie"/>
            <w:lang w:val="en-GB"/>
          </w:rPr>
          <w:t>, 2017.</w:t>
        </w:r>
      </w:hyperlink>
    </w:p>
  </w:footnote>
  <w:footnote w:id="14">
    <w:p w:rsidR="00CB023F" w:rsidRPr="00D10479" w:rsidRDefault="00CB023F" w:rsidP="00B71AEC">
      <w:pPr>
        <w:pStyle w:val="Textpoznmkypodiarou"/>
      </w:pPr>
      <w:r w:rsidRPr="00D10479">
        <w:rPr>
          <w:rStyle w:val="Odkaznapoznmkupodiarou"/>
        </w:rPr>
        <w:footnoteRef/>
      </w:r>
      <w:r w:rsidRPr="00D10479">
        <w:tab/>
        <w:t>Nezamestnanosť</w:t>
      </w:r>
      <w:r>
        <w:t xml:space="preserve"> v </w:t>
      </w:r>
      <w:r w:rsidRPr="00D10479">
        <w:t>regióne západného Balkánu je výrazne vyššia než priemer EÚ-28, hoci</w:t>
      </w:r>
      <w:r>
        <w:t xml:space="preserve"> v </w:t>
      </w:r>
      <w:r w:rsidRPr="00D10479">
        <w:t>posledných rokoch nastali určité zlepšenia. Konkrétne Bosna</w:t>
      </w:r>
      <w:r>
        <w:t xml:space="preserve"> a </w:t>
      </w:r>
      <w:r w:rsidRPr="00D10479">
        <w:t>Hercegovina, bývalá Juhoslovanská republika Macedónsko</w:t>
      </w:r>
      <w:r>
        <w:t xml:space="preserve"> a </w:t>
      </w:r>
      <w:r w:rsidRPr="00D10479">
        <w:t>Čierna Hora trpia dlhodobo vysokou nezamestnanosťou, ale aj 13,5</w:t>
      </w:r>
      <w:r>
        <w:t> %</w:t>
      </w:r>
      <w:r w:rsidRPr="00D10479">
        <w:t xml:space="preserve"> súčasná miera nezamestnanosti</w:t>
      </w:r>
      <w:r>
        <w:t xml:space="preserve"> v </w:t>
      </w:r>
      <w:r w:rsidRPr="00D10479">
        <w:t>Srbsku, ktorá je najnižšia</w:t>
      </w:r>
      <w:r>
        <w:t xml:space="preserve"> v </w:t>
      </w:r>
      <w:r w:rsidRPr="00D10479">
        <w:t>regióne po nedávnom zlepšení, je príliš vysoká</w:t>
      </w:r>
      <w:r>
        <w:t xml:space="preserve"> v </w:t>
      </w:r>
      <w:r w:rsidRPr="00D10479">
        <w:t>porovnaní</w:t>
      </w:r>
      <w:r>
        <w:t xml:space="preserve"> s </w:t>
      </w:r>
      <w:r w:rsidRPr="00D10479">
        <w:t>členskými štátmi EÚ. Napriek vysokej miere nezamestnanosti bolo</w:t>
      </w:r>
      <w:r>
        <w:t xml:space="preserve"> v </w:t>
      </w:r>
      <w:r w:rsidRPr="00D10479">
        <w:t>období 12 mesiacov do júna 2017</w:t>
      </w:r>
      <w:r>
        <w:t xml:space="preserve"> v </w:t>
      </w:r>
      <w:r w:rsidRPr="00D10479">
        <w:t>regióne vytvorených 230 000 pracovných miest, čo predstavuje nárast</w:t>
      </w:r>
      <w:r>
        <w:t xml:space="preserve"> o </w:t>
      </w:r>
      <w:r w:rsidRPr="00D10479">
        <w:t>3,8</w:t>
      </w:r>
      <w:r>
        <w:t> %</w:t>
      </w:r>
      <w:r w:rsidRPr="00D10479">
        <w:t>; pričom viac ako polovica</w:t>
      </w:r>
      <w:r>
        <w:t xml:space="preserve"> v </w:t>
      </w:r>
      <w:r w:rsidRPr="00D10479">
        <w:t>súkromnom sektore.</w:t>
      </w:r>
      <w:r>
        <w:t xml:space="preserve"> V </w:t>
      </w:r>
      <w:r w:rsidRPr="00D10479">
        <w:t>dôsledku toho sa zamestnanosť (z hľadiska počtu pracovných miest, ale nie odpracovaných hodín) vrátila na úroveň spred roka 2008 vo všetkých krajinách západného Balkánu</w:t>
      </w:r>
      <w:r>
        <w:t xml:space="preserve"> s </w:t>
      </w:r>
      <w:r w:rsidRPr="00D10479">
        <w:t>výnimkou Bosny</w:t>
      </w:r>
      <w:r>
        <w:t xml:space="preserve"> a </w:t>
      </w:r>
      <w:r w:rsidRPr="00D10479">
        <w:t xml:space="preserve">Hercegoviny (Skupina Svetovej banky, </w:t>
      </w:r>
      <w:r w:rsidRPr="00D10479">
        <w:rPr>
          <w:i/>
        </w:rPr>
        <w:t>Western Balkans Regular Economic Report, No 12</w:t>
      </w:r>
      <w:r w:rsidRPr="00D10479">
        <w:t>, jeseň 2017).</w:t>
      </w:r>
    </w:p>
  </w:footnote>
  <w:footnote w:id="15">
    <w:p w:rsidR="00CB023F" w:rsidRPr="00D10479" w:rsidRDefault="00CB023F" w:rsidP="00B71AEC">
      <w:pPr>
        <w:pStyle w:val="Textpoznmkypodiarou"/>
      </w:pPr>
      <w:r w:rsidRPr="00D10479">
        <w:rPr>
          <w:rStyle w:val="Odkaznapoznmkupodiarou"/>
        </w:rPr>
        <w:footnoteRef/>
      </w:r>
      <w:r w:rsidRPr="00D10479">
        <w:rPr>
          <w:rStyle w:val="Odkaznapoznmkupodiarou"/>
        </w:rPr>
        <w:t xml:space="preserve"> </w:t>
      </w:r>
      <w:r w:rsidRPr="00D10479">
        <w:tab/>
      </w:r>
      <w:hyperlink r:id="rId13">
        <w:r w:rsidRPr="00D10479">
          <w:rPr>
            <w:rStyle w:val="Hypertextovprepojenie"/>
          </w:rPr>
          <w:t xml:space="preserve">Skupina Svetovej banky, </w:t>
        </w:r>
        <w:r w:rsidRPr="00D10479">
          <w:rPr>
            <w:rStyle w:val="Hypertextovprepojenie"/>
            <w:i/>
          </w:rPr>
          <w:t>Western Balkans Labor Market Trends 2017</w:t>
        </w:r>
      </w:hyperlink>
      <w:r w:rsidRPr="00D10479">
        <w:t>.</w:t>
      </w:r>
    </w:p>
  </w:footnote>
  <w:footnote w:id="16">
    <w:p w:rsidR="00CB023F" w:rsidRPr="00D10479" w:rsidRDefault="00CB023F">
      <w:pPr>
        <w:pStyle w:val="Textpoznmkypodiarou"/>
      </w:pPr>
      <w:r w:rsidRPr="00D10479">
        <w:rPr>
          <w:rStyle w:val="Odkaznapoznmkupodiarou"/>
        </w:rPr>
        <w:footnoteRef/>
      </w:r>
      <w:r w:rsidRPr="00D10479">
        <w:t xml:space="preserve"> </w:t>
      </w:r>
      <w:r w:rsidRPr="00D10479">
        <w:tab/>
        <w:t xml:space="preserve">V súlade so </w:t>
      </w:r>
      <w:hyperlink r:id="rId14">
        <w:r w:rsidRPr="00D10479">
          <w:rPr>
            <w:rStyle w:val="Hypertextovprepojenie"/>
          </w:rPr>
          <w:t xml:space="preserve">stanoviskom EHSV na tému </w:t>
        </w:r>
        <w:r w:rsidRPr="00D10479">
          <w:rPr>
            <w:rStyle w:val="Hypertextovprepojenie"/>
            <w:i/>
          </w:rPr>
          <w:t>Stratégia rozširovania EÚ</w:t>
        </w:r>
      </w:hyperlink>
      <w:r>
        <w:t xml:space="preserve"> a </w:t>
      </w:r>
      <w:r w:rsidRPr="00D10479">
        <w:t xml:space="preserve">záverečným vyhlásením zo 6. </w:t>
      </w:r>
      <w:hyperlink r:id="rId15">
        <w:r w:rsidRPr="00D10479">
          <w:rPr>
            <w:rStyle w:val="Hypertextovprepojenie"/>
          </w:rPr>
          <w:t>Fóra občianskej spoločnosti západného Balkánu</w:t>
        </w:r>
      </w:hyperlink>
      <w:r w:rsidRPr="00D10479">
        <w:t>, ktoré usporiadal EHSV 10. – 11</w:t>
      </w:r>
      <w:r>
        <w:t>. júla</w:t>
      </w:r>
      <w:r w:rsidRPr="00D10479">
        <w:t xml:space="preserve"> 2017</w:t>
      </w:r>
      <w:r>
        <w:t xml:space="preserve"> v </w:t>
      </w:r>
      <w:r w:rsidRPr="00D10479">
        <w:t>Sarajeve.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3F" w:rsidRPr="00CB023F" w:rsidRDefault="00CB023F" w:rsidP="00CB02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C7257F6"/>
    <w:lvl w:ilvl="0">
      <w:start w:val="1"/>
      <w:numFmt w:val="decimal"/>
      <w:pStyle w:val="Nadpis1"/>
      <w:lvlText w:val="%1."/>
      <w:legacy w:legacy="1" w:legacySpace="0" w:legacyIndent="0"/>
      <w:lvlJc w:val="left"/>
      <w:rPr>
        <w:b w:val="0"/>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41C677FD"/>
    <w:multiLevelType w:val="singleLevel"/>
    <w:tmpl w:val="83608C72"/>
    <w:lvl w:ilvl="0">
      <w:start w:val="1"/>
      <w:numFmt w:val="lowerRoman"/>
      <w:lvlText w:val="%1)"/>
      <w:lvlJc w:val="right"/>
      <w:pPr>
        <w:ind w:left="720" w:hanging="360"/>
      </w:pPr>
      <w:rPr>
        <w:rFonts w:hint="default"/>
      </w:rPr>
    </w:lvl>
  </w:abstractNum>
  <w:abstractNum w:abstractNumId="2" w15:restartNumberingAfterBreak="0">
    <w:nsid w:val="7FEA7B7D"/>
    <w:multiLevelType w:val="singleLevel"/>
    <w:tmpl w:val="6034246E"/>
    <w:lvl w:ilvl="0">
      <w:start w:val="1"/>
      <w:numFmt w:val="lowerRoman"/>
      <w:lvlText w:val="%1)"/>
      <w:lvlJc w:val="right"/>
      <w:pPr>
        <w:ind w:left="720" w:hanging="36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3D63"/>
    <w:rsid w:val="00004698"/>
    <w:rsid w:val="00005AB9"/>
    <w:rsid w:val="00005EB9"/>
    <w:rsid w:val="00006E24"/>
    <w:rsid w:val="00007A40"/>
    <w:rsid w:val="00010879"/>
    <w:rsid w:val="00011D33"/>
    <w:rsid w:val="00017F61"/>
    <w:rsid w:val="00020CE6"/>
    <w:rsid w:val="00020E6E"/>
    <w:rsid w:val="00022139"/>
    <w:rsid w:val="00025B27"/>
    <w:rsid w:val="0003018B"/>
    <w:rsid w:val="000314A7"/>
    <w:rsid w:val="00031A4B"/>
    <w:rsid w:val="000321CB"/>
    <w:rsid w:val="00032C2A"/>
    <w:rsid w:val="00032E6D"/>
    <w:rsid w:val="00033319"/>
    <w:rsid w:val="00033913"/>
    <w:rsid w:val="00033E5B"/>
    <w:rsid w:val="000357A8"/>
    <w:rsid w:val="000430A6"/>
    <w:rsid w:val="00044923"/>
    <w:rsid w:val="00051BB3"/>
    <w:rsid w:val="0005249C"/>
    <w:rsid w:val="000534A5"/>
    <w:rsid w:val="00053CB6"/>
    <w:rsid w:val="00055E6E"/>
    <w:rsid w:val="0005680D"/>
    <w:rsid w:val="000575B3"/>
    <w:rsid w:val="0006047B"/>
    <w:rsid w:val="00063FB4"/>
    <w:rsid w:val="00064FFE"/>
    <w:rsid w:val="0006793E"/>
    <w:rsid w:val="00072E0F"/>
    <w:rsid w:val="000735E5"/>
    <w:rsid w:val="0007392F"/>
    <w:rsid w:val="000751A5"/>
    <w:rsid w:val="00087B39"/>
    <w:rsid w:val="000948D1"/>
    <w:rsid w:val="00095C8B"/>
    <w:rsid w:val="00096502"/>
    <w:rsid w:val="00096DF6"/>
    <w:rsid w:val="000A49BB"/>
    <w:rsid w:val="000A7263"/>
    <w:rsid w:val="000B439D"/>
    <w:rsid w:val="000C3441"/>
    <w:rsid w:val="000C7F53"/>
    <w:rsid w:val="000D2F8E"/>
    <w:rsid w:val="000D4E23"/>
    <w:rsid w:val="000E1263"/>
    <w:rsid w:val="000E1648"/>
    <w:rsid w:val="000E5479"/>
    <w:rsid w:val="000E5500"/>
    <w:rsid w:val="000F196B"/>
    <w:rsid w:val="000F64F1"/>
    <w:rsid w:val="000F78D0"/>
    <w:rsid w:val="00105361"/>
    <w:rsid w:val="00105BE3"/>
    <w:rsid w:val="00107072"/>
    <w:rsid w:val="001101F8"/>
    <w:rsid w:val="0011206F"/>
    <w:rsid w:val="001156F8"/>
    <w:rsid w:val="0011656A"/>
    <w:rsid w:val="0012220C"/>
    <w:rsid w:val="00124798"/>
    <w:rsid w:val="00136EA3"/>
    <w:rsid w:val="00137575"/>
    <w:rsid w:val="00140C60"/>
    <w:rsid w:val="001424E3"/>
    <w:rsid w:val="00144231"/>
    <w:rsid w:val="00144E1B"/>
    <w:rsid w:val="00150434"/>
    <w:rsid w:val="00150D23"/>
    <w:rsid w:val="00152C5C"/>
    <w:rsid w:val="00155721"/>
    <w:rsid w:val="0015678B"/>
    <w:rsid w:val="001602E3"/>
    <w:rsid w:val="00163918"/>
    <w:rsid w:val="00164925"/>
    <w:rsid w:val="00164A45"/>
    <w:rsid w:val="0016503F"/>
    <w:rsid w:val="0016674F"/>
    <w:rsid w:val="00167CA0"/>
    <w:rsid w:val="0017120D"/>
    <w:rsid w:val="001714F6"/>
    <w:rsid w:val="0017252F"/>
    <w:rsid w:val="00176168"/>
    <w:rsid w:val="00177158"/>
    <w:rsid w:val="001808A5"/>
    <w:rsid w:val="0018350E"/>
    <w:rsid w:val="00184FD4"/>
    <w:rsid w:val="00186B04"/>
    <w:rsid w:val="00186F1E"/>
    <w:rsid w:val="0018743F"/>
    <w:rsid w:val="00190836"/>
    <w:rsid w:val="00190A4D"/>
    <w:rsid w:val="00190AA2"/>
    <w:rsid w:val="00192FC8"/>
    <w:rsid w:val="00193930"/>
    <w:rsid w:val="00193DC0"/>
    <w:rsid w:val="00195A77"/>
    <w:rsid w:val="001963A5"/>
    <w:rsid w:val="00196F1E"/>
    <w:rsid w:val="00197FCA"/>
    <w:rsid w:val="001A1A12"/>
    <w:rsid w:val="001A27DB"/>
    <w:rsid w:val="001A6852"/>
    <w:rsid w:val="001A7391"/>
    <w:rsid w:val="001B286A"/>
    <w:rsid w:val="001B2D02"/>
    <w:rsid w:val="001B3647"/>
    <w:rsid w:val="001B77FA"/>
    <w:rsid w:val="001C0ABE"/>
    <w:rsid w:val="001C5852"/>
    <w:rsid w:val="001D2739"/>
    <w:rsid w:val="001D45F0"/>
    <w:rsid w:val="001E0830"/>
    <w:rsid w:val="001E2B7A"/>
    <w:rsid w:val="001E4A33"/>
    <w:rsid w:val="001E5572"/>
    <w:rsid w:val="001E5BE1"/>
    <w:rsid w:val="001E5C27"/>
    <w:rsid w:val="001F2865"/>
    <w:rsid w:val="001F5D9D"/>
    <w:rsid w:val="001F602B"/>
    <w:rsid w:val="001F6AC8"/>
    <w:rsid w:val="002037D5"/>
    <w:rsid w:val="002042B5"/>
    <w:rsid w:val="00206F90"/>
    <w:rsid w:val="00212B03"/>
    <w:rsid w:val="00212B6E"/>
    <w:rsid w:val="00213198"/>
    <w:rsid w:val="002131AE"/>
    <w:rsid w:val="00213549"/>
    <w:rsid w:val="00215C10"/>
    <w:rsid w:val="00215C2D"/>
    <w:rsid w:val="002177DD"/>
    <w:rsid w:val="00222CD6"/>
    <w:rsid w:val="00223310"/>
    <w:rsid w:val="002252C4"/>
    <w:rsid w:val="0022748E"/>
    <w:rsid w:val="0023183E"/>
    <w:rsid w:val="00235138"/>
    <w:rsid w:val="00243E36"/>
    <w:rsid w:val="002447C7"/>
    <w:rsid w:val="0024540B"/>
    <w:rsid w:val="00245EF4"/>
    <w:rsid w:val="00250E11"/>
    <w:rsid w:val="00251383"/>
    <w:rsid w:val="002522C9"/>
    <w:rsid w:val="00252A21"/>
    <w:rsid w:val="00253E4F"/>
    <w:rsid w:val="002542E4"/>
    <w:rsid w:val="00261053"/>
    <w:rsid w:val="00262FDE"/>
    <w:rsid w:val="00263629"/>
    <w:rsid w:val="00264642"/>
    <w:rsid w:val="002769BD"/>
    <w:rsid w:val="00276A75"/>
    <w:rsid w:val="002809EA"/>
    <w:rsid w:val="00282CA1"/>
    <w:rsid w:val="00284962"/>
    <w:rsid w:val="00287B0E"/>
    <w:rsid w:val="00291B10"/>
    <w:rsid w:val="002947D6"/>
    <w:rsid w:val="002951D5"/>
    <w:rsid w:val="002A0B53"/>
    <w:rsid w:val="002A0EEF"/>
    <w:rsid w:val="002A6674"/>
    <w:rsid w:val="002A76F9"/>
    <w:rsid w:val="002B094A"/>
    <w:rsid w:val="002B2332"/>
    <w:rsid w:val="002B2DF7"/>
    <w:rsid w:val="002C3BF4"/>
    <w:rsid w:val="002C749F"/>
    <w:rsid w:val="002D0E87"/>
    <w:rsid w:val="002D28A5"/>
    <w:rsid w:val="002D2D9D"/>
    <w:rsid w:val="002D3905"/>
    <w:rsid w:val="002E249D"/>
    <w:rsid w:val="002E7B33"/>
    <w:rsid w:val="002F059B"/>
    <w:rsid w:val="002F5B0B"/>
    <w:rsid w:val="00300924"/>
    <w:rsid w:val="00301DE8"/>
    <w:rsid w:val="0030596E"/>
    <w:rsid w:val="003073C3"/>
    <w:rsid w:val="00312C63"/>
    <w:rsid w:val="00316A96"/>
    <w:rsid w:val="00323637"/>
    <w:rsid w:val="00324E8A"/>
    <w:rsid w:val="00331D87"/>
    <w:rsid w:val="00332850"/>
    <w:rsid w:val="00334478"/>
    <w:rsid w:val="003346B4"/>
    <w:rsid w:val="00334AE6"/>
    <w:rsid w:val="003365D0"/>
    <w:rsid w:val="00340150"/>
    <w:rsid w:val="003439AB"/>
    <w:rsid w:val="00345F83"/>
    <w:rsid w:val="00346A8A"/>
    <w:rsid w:val="0035034C"/>
    <w:rsid w:val="003539D6"/>
    <w:rsid w:val="00354695"/>
    <w:rsid w:val="003546D0"/>
    <w:rsid w:val="0035549B"/>
    <w:rsid w:val="00356CD0"/>
    <w:rsid w:val="003648B1"/>
    <w:rsid w:val="003755C8"/>
    <w:rsid w:val="00375687"/>
    <w:rsid w:val="00380AE0"/>
    <w:rsid w:val="00383324"/>
    <w:rsid w:val="00387A75"/>
    <w:rsid w:val="003904FD"/>
    <w:rsid w:val="00390CC5"/>
    <w:rsid w:val="00392650"/>
    <w:rsid w:val="00394254"/>
    <w:rsid w:val="003A2459"/>
    <w:rsid w:val="003A3DF7"/>
    <w:rsid w:val="003A66FA"/>
    <w:rsid w:val="003B413C"/>
    <w:rsid w:val="003C2BFB"/>
    <w:rsid w:val="003C2F78"/>
    <w:rsid w:val="003C436B"/>
    <w:rsid w:val="003C5337"/>
    <w:rsid w:val="003C5F92"/>
    <w:rsid w:val="003D7A8C"/>
    <w:rsid w:val="003D7C00"/>
    <w:rsid w:val="003E56E5"/>
    <w:rsid w:val="003E5F90"/>
    <w:rsid w:val="003E67A9"/>
    <w:rsid w:val="003E7E60"/>
    <w:rsid w:val="003F00D4"/>
    <w:rsid w:val="003F2209"/>
    <w:rsid w:val="003F2418"/>
    <w:rsid w:val="003F3D39"/>
    <w:rsid w:val="003F646A"/>
    <w:rsid w:val="003F6761"/>
    <w:rsid w:val="003F6A0A"/>
    <w:rsid w:val="004024F5"/>
    <w:rsid w:val="004025B6"/>
    <w:rsid w:val="00402DE1"/>
    <w:rsid w:val="00403D8B"/>
    <w:rsid w:val="004058F1"/>
    <w:rsid w:val="004070A9"/>
    <w:rsid w:val="00407E7D"/>
    <w:rsid w:val="0041283D"/>
    <w:rsid w:val="00413AB4"/>
    <w:rsid w:val="00421373"/>
    <w:rsid w:val="00421FB7"/>
    <w:rsid w:val="00422642"/>
    <w:rsid w:val="0042763B"/>
    <w:rsid w:val="0043024C"/>
    <w:rsid w:val="00430932"/>
    <w:rsid w:val="00436706"/>
    <w:rsid w:val="00443D38"/>
    <w:rsid w:val="00445680"/>
    <w:rsid w:val="00446C3B"/>
    <w:rsid w:val="00450E7A"/>
    <w:rsid w:val="00452FD8"/>
    <w:rsid w:val="004532E4"/>
    <w:rsid w:val="0045419A"/>
    <w:rsid w:val="004569BB"/>
    <w:rsid w:val="00456AF8"/>
    <w:rsid w:val="00462124"/>
    <w:rsid w:val="0046335B"/>
    <w:rsid w:val="00463D00"/>
    <w:rsid w:val="00470B15"/>
    <w:rsid w:val="00470FEB"/>
    <w:rsid w:val="00475869"/>
    <w:rsid w:val="00475A77"/>
    <w:rsid w:val="004866A9"/>
    <w:rsid w:val="0048787F"/>
    <w:rsid w:val="00492774"/>
    <w:rsid w:val="00493561"/>
    <w:rsid w:val="00496D7A"/>
    <w:rsid w:val="004A31BC"/>
    <w:rsid w:val="004A3F1A"/>
    <w:rsid w:val="004A3F45"/>
    <w:rsid w:val="004B1AFA"/>
    <w:rsid w:val="004B315C"/>
    <w:rsid w:val="004B3E39"/>
    <w:rsid w:val="004B7088"/>
    <w:rsid w:val="004C0DA8"/>
    <w:rsid w:val="004C4D12"/>
    <w:rsid w:val="004C54D2"/>
    <w:rsid w:val="004C5B76"/>
    <w:rsid w:val="004D02CD"/>
    <w:rsid w:val="004D0B24"/>
    <w:rsid w:val="004D3CC1"/>
    <w:rsid w:val="004D41F8"/>
    <w:rsid w:val="004D43E5"/>
    <w:rsid w:val="004D4B90"/>
    <w:rsid w:val="004D6B95"/>
    <w:rsid w:val="004D7F41"/>
    <w:rsid w:val="004E03A2"/>
    <w:rsid w:val="004E1C5F"/>
    <w:rsid w:val="004E317E"/>
    <w:rsid w:val="004E338B"/>
    <w:rsid w:val="004E3954"/>
    <w:rsid w:val="004E5856"/>
    <w:rsid w:val="004E6571"/>
    <w:rsid w:val="004F2330"/>
    <w:rsid w:val="004F3F81"/>
    <w:rsid w:val="004F53C6"/>
    <w:rsid w:val="004F544C"/>
    <w:rsid w:val="004F55C6"/>
    <w:rsid w:val="004F57B5"/>
    <w:rsid w:val="004F69DB"/>
    <w:rsid w:val="004F6B87"/>
    <w:rsid w:val="004F7A13"/>
    <w:rsid w:val="00501C2D"/>
    <w:rsid w:val="00502637"/>
    <w:rsid w:val="00502EED"/>
    <w:rsid w:val="0050525D"/>
    <w:rsid w:val="00506031"/>
    <w:rsid w:val="00511140"/>
    <w:rsid w:val="00513CFE"/>
    <w:rsid w:val="00515128"/>
    <w:rsid w:val="00522D5F"/>
    <w:rsid w:val="00523B6A"/>
    <w:rsid w:val="00525F6C"/>
    <w:rsid w:val="00532600"/>
    <w:rsid w:val="00541A71"/>
    <w:rsid w:val="00546AB4"/>
    <w:rsid w:val="005514E5"/>
    <w:rsid w:val="005551D7"/>
    <w:rsid w:val="00556B7B"/>
    <w:rsid w:val="00563C84"/>
    <w:rsid w:val="005762F6"/>
    <w:rsid w:val="00584FBE"/>
    <w:rsid w:val="00584FC3"/>
    <w:rsid w:val="00585483"/>
    <w:rsid w:val="00587378"/>
    <w:rsid w:val="00587C05"/>
    <w:rsid w:val="00590AAB"/>
    <w:rsid w:val="005938C3"/>
    <w:rsid w:val="00593D2A"/>
    <w:rsid w:val="0059468C"/>
    <w:rsid w:val="005950D2"/>
    <w:rsid w:val="00595125"/>
    <w:rsid w:val="00596F21"/>
    <w:rsid w:val="005A1291"/>
    <w:rsid w:val="005B1CDD"/>
    <w:rsid w:val="005B1E19"/>
    <w:rsid w:val="005B55FC"/>
    <w:rsid w:val="005B66D8"/>
    <w:rsid w:val="005C1961"/>
    <w:rsid w:val="005C2D5E"/>
    <w:rsid w:val="005C3B81"/>
    <w:rsid w:val="005C40C2"/>
    <w:rsid w:val="005C650C"/>
    <w:rsid w:val="005D086C"/>
    <w:rsid w:val="005D11D3"/>
    <w:rsid w:val="005D4E1F"/>
    <w:rsid w:val="005D4FB3"/>
    <w:rsid w:val="005E1E82"/>
    <w:rsid w:val="005E2F07"/>
    <w:rsid w:val="005E2FEA"/>
    <w:rsid w:val="005F08EE"/>
    <w:rsid w:val="005F0B0B"/>
    <w:rsid w:val="005F1FF1"/>
    <w:rsid w:val="005F314B"/>
    <w:rsid w:val="005F7181"/>
    <w:rsid w:val="0060564F"/>
    <w:rsid w:val="00611AF2"/>
    <w:rsid w:val="0061212B"/>
    <w:rsid w:val="006127AF"/>
    <w:rsid w:val="00613A98"/>
    <w:rsid w:val="0061406B"/>
    <w:rsid w:val="00615FB2"/>
    <w:rsid w:val="0061742C"/>
    <w:rsid w:val="006179FB"/>
    <w:rsid w:val="00617BD1"/>
    <w:rsid w:val="00617CE8"/>
    <w:rsid w:val="00624057"/>
    <w:rsid w:val="00626244"/>
    <w:rsid w:val="006278A0"/>
    <w:rsid w:val="0063095F"/>
    <w:rsid w:val="00631CBD"/>
    <w:rsid w:val="00632038"/>
    <w:rsid w:val="0063704F"/>
    <w:rsid w:val="006454CA"/>
    <w:rsid w:val="00646AC2"/>
    <w:rsid w:val="00650390"/>
    <w:rsid w:val="006517C2"/>
    <w:rsid w:val="00653E4A"/>
    <w:rsid w:val="00654DAB"/>
    <w:rsid w:val="006614D1"/>
    <w:rsid w:val="00661947"/>
    <w:rsid w:val="0066204A"/>
    <w:rsid w:val="0066735E"/>
    <w:rsid w:val="00670E3C"/>
    <w:rsid w:val="00677418"/>
    <w:rsid w:val="00677F57"/>
    <w:rsid w:val="00681088"/>
    <w:rsid w:val="006819FE"/>
    <w:rsid w:val="0068286B"/>
    <w:rsid w:val="006841C1"/>
    <w:rsid w:val="00684DC1"/>
    <w:rsid w:val="00684F9C"/>
    <w:rsid w:val="006934C9"/>
    <w:rsid w:val="00693664"/>
    <w:rsid w:val="0069577E"/>
    <w:rsid w:val="0069634B"/>
    <w:rsid w:val="00696623"/>
    <w:rsid w:val="00696852"/>
    <w:rsid w:val="006A04E9"/>
    <w:rsid w:val="006A4A03"/>
    <w:rsid w:val="006A7543"/>
    <w:rsid w:val="006B25E1"/>
    <w:rsid w:val="006B53DA"/>
    <w:rsid w:val="006B634A"/>
    <w:rsid w:val="006B6D1A"/>
    <w:rsid w:val="006B725C"/>
    <w:rsid w:val="006C273D"/>
    <w:rsid w:val="006C3163"/>
    <w:rsid w:val="006C5C4F"/>
    <w:rsid w:val="006C6282"/>
    <w:rsid w:val="006C6B7E"/>
    <w:rsid w:val="006C6F72"/>
    <w:rsid w:val="006C762A"/>
    <w:rsid w:val="006D0501"/>
    <w:rsid w:val="006D5FF9"/>
    <w:rsid w:val="006E0772"/>
    <w:rsid w:val="006E0F86"/>
    <w:rsid w:val="006E12AC"/>
    <w:rsid w:val="006E7C95"/>
    <w:rsid w:val="006F0B15"/>
    <w:rsid w:val="006F0DCC"/>
    <w:rsid w:val="006F70AC"/>
    <w:rsid w:val="00703DF9"/>
    <w:rsid w:val="007048EB"/>
    <w:rsid w:val="00704FBB"/>
    <w:rsid w:val="00705970"/>
    <w:rsid w:val="0070726A"/>
    <w:rsid w:val="00711798"/>
    <w:rsid w:val="00711D47"/>
    <w:rsid w:val="0071226B"/>
    <w:rsid w:val="00712BD3"/>
    <w:rsid w:val="00713AE2"/>
    <w:rsid w:val="00717040"/>
    <w:rsid w:val="00735AD3"/>
    <w:rsid w:val="00743060"/>
    <w:rsid w:val="00744535"/>
    <w:rsid w:val="007516DD"/>
    <w:rsid w:val="00755140"/>
    <w:rsid w:val="00755A5B"/>
    <w:rsid w:val="007600C5"/>
    <w:rsid w:val="00760F2C"/>
    <w:rsid w:val="007613BA"/>
    <w:rsid w:val="00762093"/>
    <w:rsid w:val="007622A7"/>
    <w:rsid w:val="0077461D"/>
    <w:rsid w:val="007750A2"/>
    <w:rsid w:val="0078077F"/>
    <w:rsid w:val="007817D6"/>
    <w:rsid w:val="00781E1C"/>
    <w:rsid w:val="00787912"/>
    <w:rsid w:val="0079177A"/>
    <w:rsid w:val="00794836"/>
    <w:rsid w:val="007948D5"/>
    <w:rsid w:val="00796F29"/>
    <w:rsid w:val="007971B8"/>
    <w:rsid w:val="007A15C9"/>
    <w:rsid w:val="007A6676"/>
    <w:rsid w:val="007B3946"/>
    <w:rsid w:val="007B78B6"/>
    <w:rsid w:val="007B7FF5"/>
    <w:rsid w:val="007C3596"/>
    <w:rsid w:val="007C3FC6"/>
    <w:rsid w:val="007C6FD9"/>
    <w:rsid w:val="007D2CE9"/>
    <w:rsid w:val="007D4FED"/>
    <w:rsid w:val="007D5D7D"/>
    <w:rsid w:val="007D69DA"/>
    <w:rsid w:val="007D6B9F"/>
    <w:rsid w:val="007D70B1"/>
    <w:rsid w:val="007D7140"/>
    <w:rsid w:val="007E1CDB"/>
    <w:rsid w:val="007E408C"/>
    <w:rsid w:val="007E4D98"/>
    <w:rsid w:val="007E50B2"/>
    <w:rsid w:val="007E50BF"/>
    <w:rsid w:val="007E7004"/>
    <w:rsid w:val="007E7E21"/>
    <w:rsid w:val="007F0460"/>
    <w:rsid w:val="007F0DA2"/>
    <w:rsid w:val="007F39CE"/>
    <w:rsid w:val="007F4A65"/>
    <w:rsid w:val="007F5E0D"/>
    <w:rsid w:val="00801085"/>
    <w:rsid w:val="00801A89"/>
    <w:rsid w:val="00812138"/>
    <w:rsid w:val="0081476F"/>
    <w:rsid w:val="008151F2"/>
    <w:rsid w:val="0081777A"/>
    <w:rsid w:val="008210E0"/>
    <w:rsid w:val="00822ED4"/>
    <w:rsid w:val="00824079"/>
    <w:rsid w:val="00827048"/>
    <w:rsid w:val="00831F0A"/>
    <w:rsid w:val="008322B4"/>
    <w:rsid w:val="008326C6"/>
    <w:rsid w:val="00833A78"/>
    <w:rsid w:val="0083404A"/>
    <w:rsid w:val="0084585F"/>
    <w:rsid w:val="00846344"/>
    <w:rsid w:val="00853E53"/>
    <w:rsid w:val="008540E6"/>
    <w:rsid w:val="0085535C"/>
    <w:rsid w:val="00856D2B"/>
    <w:rsid w:val="00864AEC"/>
    <w:rsid w:val="00864D76"/>
    <w:rsid w:val="008656C9"/>
    <w:rsid w:val="008661FF"/>
    <w:rsid w:val="0086711C"/>
    <w:rsid w:val="00867535"/>
    <w:rsid w:val="008744E4"/>
    <w:rsid w:val="00875C5B"/>
    <w:rsid w:val="008837E5"/>
    <w:rsid w:val="00883C5F"/>
    <w:rsid w:val="008900BA"/>
    <w:rsid w:val="00891C7D"/>
    <w:rsid w:val="00892FA7"/>
    <w:rsid w:val="008A0D03"/>
    <w:rsid w:val="008A3301"/>
    <w:rsid w:val="008A3B41"/>
    <w:rsid w:val="008A4DF1"/>
    <w:rsid w:val="008A5636"/>
    <w:rsid w:val="008A6F02"/>
    <w:rsid w:val="008B125E"/>
    <w:rsid w:val="008B241C"/>
    <w:rsid w:val="008B408B"/>
    <w:rsid w:val="008B4F11"/>
    <w:rsid w:val="008C2362"/>
    <w:rsid w:val="008C3049"/>
    <w:rsid w:val="008C5E4D"/>
    <w:rsid w:val="008D2F85"/>
    <w:rsid w:val="008D4AE9"/>
    <w:rsid w:val="008D50CC"/>
    <w:rsid w:val="008D5CF3"/>
    <w:rsid w:val="008D7D39"/>
    <w:rsid w:val="008E4574"/>
    <w:rsid w:val="008F1CA5"/>
    <w:rsid w:val="008F4016"/>
    <w:rsid w:val="008F42FE"/>
    <w:rsid w:val="008F4A00"/>
    <w:rsid w:val="008F5402"/>
    <w:rsid w:val="008F6DA7"/>
    <w:rsid w:val="0090053A"/>
    <w:rsid w:val="0090059D"/>
    <w:rsid w:val="00901C2A"/>
    <w:rsid w:val="00901F7A"/>
    <w:rsid w:val="009056E9"/>
    <w:rsid w:val="009118C7"/>
    <w:rsid w:val="00917A3A"/>
    <w:rsid w:val="00921049"/>
    <w:rsid w:val="009225B6"/>
    <w:rsid w:val="009231FE"/>
    <w:rsid w:val="00925397"/>
    <w:rsid w:val="00925ACA"/>
    <w:rsid w:val="009328A0"/>
    <w:rsid w:val="00933A21"/>
    <w:rsid w:val="00934C10"/>
    <w:rsid w:val="00935EE8"/>
    <w:rsid w:val="0093662A"/>
    <w:rsid w:val="0094060C"/>
    <w:rsid w:val="00942C4B"/>
    <w:rsid w:val="00944196"/>
    <w:rsid w:val="00952AAB"/>
    <w:rsid w:val="009606A5"/>
    <w:rsid w:val="00962605"/>
    <w:rsid w:val="00962F1F"/>
    <w:rsid w:val="00965304"/>
    <w:rsid w:val="00971293"/>
    <w:rsid w:val="009728BB"/>
    <w:rsid w:val="00973A3B"/>
    <w:rsid w:val="0097449D"/>
    <w:rsid w:val="00976361"/>
    <w:rsid w:val="00977A1B"/>
    <w:rsid w:val="0098266C"/>
    <w:rsid w:val="00983EAE"/>
    <w:rsid w:val="00984D37"/>
    <w:rsid w:val="0098760B"/>
    <w:rsid w:val="009A11DD"/>
    <w:rsid w:val="009B01ED"/>
    <w:rsid w:val="009B30AA"/>
    <w:rsid w:val="009B3463"/>
    <w:rsid w:val="009B5217"/>
    <w:rsid w:val="009B7356"/>
    <w:rsid w:val="009B7632"/>
    <w:rsid w:val="009C39EB"/>
    <w:rsid w:val="009C48DE"/>
    <w:rsid w:val="009D0B28"/>
    <w:rsid w:val="009D60D9"/>
    <w:rsid w:val="009D6725"/>
    <w:rsid w:val="009E1E1E"/>
    <w:rsid w:val="009E31D7"/>
    <w:rsid w:val="009E33E3"/>
    <w:rsid w:val="009E7F16"/>
    <w:rsid w:val="009F2FE5"/>
    <w:rsid w:val="009F5052"/>
    <w:rsid w:val="009F6263"/>
    <w:rsid w:val="009F7FD5"/>
    <w:rsid w:val="00A013CE"/>
    <w:rsid w:val="00A03083"/>
    <w:rsid w:val="00A04C85"/>
    <w:rsid w:val="00A100F0"/>
    <w:rsid w:val="00A104BC"/>
    <w:rsid w:val="00A11770"/>
    <w:rsid w:val="00A156E6"/>
    <w:rsid w:val="00A177C5"/>
    <w:rsid w:val="00A23954"/>
    <w:rsid w:val="00A27D86"/>
    <w:rsid w:val="00A30A3D"/>
    <w:rsid w:val="00A33151"/>
    <w:rsid w:val="00A35C4F"/>
    <w:rsid w:val="00A36970"/>
    <w:rsid w:val="00A41EB4"/>
    <w:rsid w:val="00A44A89"/>
    <w:rsid w:val="00A44BFF"/>
    <w:rsid w:val="00A501E3"/>
    <w:rsid w:val="00A50F0C"/>
    <w:rsid w:val="00A552AF"/>
    <w:rsid w:val="00A56441"/>
    <w:rsid w:val="00A57277"/>
    <w:rsid w:val="00A7061D"/>
    <w:rsid w:val="00A736DD"/>
    <w:rsid w:val="00A73D1C"/>
    <w:rsid w:val="00A74FFE"/>
    <w:rsid w:val="00A82869"/>
    <w:rsid w:val="00A847A5"/>
    <w:rsid w:val="00A856CD"/>
    <w:rsid w:val="00A8687B"/>
    <w:rsid w:val="00A8758C"/>
    <w:rsid w:val="00A92733"/>
    <w:rsid w:val="00AA127E"/>
    <w:rsid w:val="00AA19AE"/>
    <w:rsid w:val="00AA26DC"/>
    <w:rsid w:val="00AA33E8"/>
    <w:rsid w:val="00AA423D"/>
    <w:rsid w:val="00AA6A95"/>
    <w:rsid w:val="00AB00BF"/>
    <w:rsid w:val="00AB10DE"/>
    <w:rsid w:val="00AB2C01"/>
    <w:rsid w:val="00AB3668"/>
    <w:rsid w:val="00AB5ED7"/>
    <w:rsid w:val="00AB654F"/>
    <w:rsid w:val="00AC00D9"/>
    <w:rsid w:val="00AC0B4C"/>
    <w:rsid w:val="00AC62E3"/>
    <w:rsid w:val="00AC6620"/>
    <w:rsid w:val="00AD0AEE"/>
    <w:rsid w:val="00AD1948"/>
    <w:rsid w:val="00AD3EE9"/>
    <w:rsid w:val="00AD49E3"/>
    <w:rsid w:val="00AD4B4F"/>
    <w:rsid w:val="00AE34CF"/>
    <w:rsid w:val="00AE416A"/>
    <w:rsid w:val="00AE6015"/>
    <w:rsid w:val="00AF0616"/>
    <w:rsid w:val="00AF0E28"/>
    <w:rsid w:val="00AF32B3"/>
    <w:rsid w:val="00AF6F9B"/>
    <w:rsid w:val="00B01409"/>
    <w:rsid w:val="00B02B9D"/>
    <w:rsid w:val="00B10DBD"/>
    <w:rsid w:val="00B15629"/>
    <w:rsid w:val="00B2372C"/>
    <w:rsid w:val="00B26F17"/>
    <w:rsid w:val="00B31136"/>
    <w:rsid w:val="00B32F70"/>
    <w:rsid w:val="00B3311C"/>
    <w:rsid w:val="00B34117"/>
    <w:rsid w:val="00B373D0"/>
    <w:rsid w:val="00B4032B"/>
    <w:rsid w:val="00B42A12"/>
    <w:rsid w:val="00B43AAA"/>
    <w:rsid w:val="00B452FE"/>
    <w:rsid w:val="00B53139"/>
    <w:rsid w:val="00B562CE"/>
    <w:rsid w:val="00B62DE2"/>
    <w:rsid w:val="00B71684"/>
    <w:rsid w:val="00B71AEC"/>
    <w:rsid w:val="00B7205D"/>
    <w:rsid w:val="00B74417"/>
    <w:rsid w:val="00B75FE8"/>
    <w:rsid w:val="00B77246"/>
    <w:rsid w:val="00B8607C"/>
    <w:rsid w:val="00B866CD"/>
    <w:rsid w:val="00B92022"/>
    <w:rsid w:val="00B93034"/>
    <w:rsid w:val="00B93A81"/>
    <w:rsid w:val="00B93C04"/>
    <w:rsid w:val="00B97C5D"/>
    <w:rsid w:val="00BA1290"/>
    <w:rsid w:val="00BA300D"/>
    <w:rsid w:val="00BB2792"/>
    <w:rsid w:val="00BB293E"/>
    <w:rsid w:val="00BB44AA"/>
    <w:rsid w:val="00BB76BF"/>
    <w:rsid w:val="00BC1AD1"/>
    <w:rsid w:val="00BC25FB"/>
    <w:rsid w:val="00BC4A58"/>
    <w:rsid w:val="00BC613B"/>
    <w:rsid w:val="00BD3B14"/>
    <w:rsid w:val="00BD449B"/>
    <w:rsid w:val="00BD4BE5"/>
    <w:rsid w:val="00BD51D9"/>
    <w:rsid w:val="00BD64E2"/>
    <w:rsid w:val="00BE2708"/>
    <w:rsid w:val="00BE4995"/>
    <w:rsid w:val="00BF0249"/>
    <w:rsid w:val="00BF429A"/>
    <w:rsid w:val="00BF62BE"/>
    <w:rsid w:val="00BF69C2"/>
    <w:rsid w:val="00C05FF8"/>
    <w:rsid w:val="00C07126"/>
    <w:rsid w:val="00C14CD5"/>
    <w:rsid w:val="00C15678"/>
    <w:rsid w:val="00C16853"/>
    <w:rsid w:val="00C218C2"/>
    <w:rsid w:val="00C25B6A"/>
    <w:rsid w:val="00C25E63"/>
    <w:rsid w:val="00C263F0"/>
    <w:rsid w:val="00C33D41"/>
    <w:rsid w:val="00C40AFD"/>
    <w:rsid w:val="00C41E20"/>
    <w:rsid w:val="00C427BD"/>
    <w:rsid w:val="00C42E3E"/>
    <w:rsid w:val="00C437BB"/>
    <w:rsid w:val="00C46ED1"/>
    <w:rsid w:val="00C51C13"/>
    <w:rsid w:val="00C525A5"/>
    <w:rsid w:val="00C5300F"/>
    <w:rsid w:val="00C54594"/>
    <w:rsid w:val="00C55A41"/>
    <w:rsid w:val="00C5601C"/>
    <w:rsid w:val="00C56628"/>
    <w:rsid w:val="00C57569"/>
    <w:rsid w:val="00C60555"/>
    <w:rsid w:val="00C647E5"/>
    <w:rsid w:val="00C66658"/>
    <w:rsid w:val="00C66CE0"/>
    <w:rsid w:val="00C71731"/>
    <w:rsid w:val="00C71BED"/>
    <w:rsid w:val="00C737B2"/>
    <w:rsid w:val="00C7489B"/>
    <w:rsid w:val="00C81B53"/>
    <w:rsid w:val="00C82AD2"/>
    <w:rsid w:val="00C8342C"/>
    <w:rsid w:val="00C84EA6"/>
    <w:rsid w:val="00C85A9A"/>
    <w:rsid w:val="00C90FB6"/>
    <w:rsid w:val="00C9220E"/>
    <w:rsid w:val="00C932BD"/>
    <w:rsid w:val="00C93429"/>
    <w:rsid w:val="00C93AC0"/>
    <w:rsid w:val="00C94048"/>
    <w:rsid w:val="00C948D5"/>
    <w:rsid w:val="00CA16C5"/>
    <w:rsid w:val="00CA3ECC"/>
    <w:rsid w:val="00CA415A"/>
    <w:rsid w:val="00CA7629"/>
    <w:rsid w:val="00CA7A35"/>
    <w:rsid w:val="00CB023F"/>
    <w:rsid w:val="00CB148D"/>
    <w:rsid w:val="00CB1536"/>
    <w:rsid w:val="00CB50EC"/>
    <w:rsid w:val="00CB7FB8"/>
    <w:rsid w:val="00CC0308"/>
    <w:rsid w:val="00CC0782"/>
    <w:rsid w:val="00CC07B6"/>
    <w:rsid w:val="00CC0C92"/>
    <w:rsid w:val="00CC1F71"/>
    <w:rsid w:val="00CC5588"/>
    <w:rsid w:val="00CC5D6D"/>
    <w:rsid w:val="00CC5EB3"/>
    <w:rsid w:val="00CD0E7B"/>
    <w:rsid w:val="00CD2ABD"/>
    <w:rsid w:val="00CD358F"/>
    <w:rsid w:val="00CD3CDD"/>
    <w:rsid w:val="00CD4024"/>
    <w:rsid w:val="00CD4617"/>
    <w:rsid w:val="00CD4855"/>
    <w:rsid w:val="00CE24A6"/>
    <w:rsid w:val="00CE2951"/>
    <w:rsid w:val="00CE6D43"/>
    <w:rsid w:val="00CE7888"/>
    <w:rsid w:val="00CF1224"/>
    <w:rsid w:val="00CF7E6C"/>
    <w:rsid w:val="00D10479"/>
    <w:rsid w:val="00D10E1C"/>
    <w:rsid w:val="00D13533"/>
    <w:rsid w:val="00D161A3"/>
    <w:rsid w:val="00D22405"/>
    <w:rsid w:val="00D22E49"/>
    <w:rsid w:val="00D23716"/>
    <w:rsid w:val="00D25ED8"/>
    <w:rsid w:val="00D27F8F"/>
    <w:rsid w:val="00D316B8"/>
    <w:rsid w:val="00D31CFC"/>
    <w:rsid w:val="00D3255D"/>
    <w:rsid w:val="00D340C3"/>
    <w:rsid w:val="00D40373"/>
    <w:rsid w:val="00D409CD"/>
    <w:rsid w:val="00D41B75"/>
    <w:rsid w:val="00D4201E"/>
    <w:rsid w:val="00D423D4"/>
    <w:rsid w:val="00D42CAF"/>
    <w:rsid w:val="00D5310F"/>
    <w:rsid w:val="00D54B6F"/>
    <w:rsid w:val="00D57755"/>
    <w:rsid w:val="00D601EF"/>
    <w:rsid w:val="00D61533"/>
    <w:rsid w:val="00D63B2F"/>
    <w:rsid w:val="00D6550A"/>
    <w:rsid w:val="00D70747"/>
    <w:rsid w:val="00D7261D"/>
    <w:rsid w:val="00D755FC"/>
    <w:rsid w:val="00D76932"/>
    <w:rsid w:val="00D76B6D"/>
    <w:rsid w:val="00D84D07"/>
    <w:rsid w:val="00D8526A"/>
    <w:rsid w:val="00D86D8F"/>
    <w:rsid w:val="00D90E91"/>
    <w:rsid w:val="00D9612F"/>
    <w:rsid w:val="00DA72FA"/>
    <w:rsid w:val="00DB26E3"/>
    <w:rsid w:val="00DB2A64"/>
    <w:rsid w:val="00DB3B7A"/>
    <w:rsid w:val="00DB4DCC"/>
    <w:rsid w:val="00DB60E1"/>
    <w:rsid w:val="00DC10D0"/>
    <w:rsid w:val="00DC1347"/>
    <w:rsid w:val="00DC39F1"/>
    <w:rsid w:val="00DC7A5E"/>
    <w:rsid w:val="00DD1B31"/>
    <w:rsid w:val="00DE4B35"/>
    <w:rsid w:val="00DF19C1"/>
    <w:rsid w:val="00DF3D74"/>
    <w:rsid w:val="00DF3E96"/>
    <w:rsid w:val="00DF4C8C"/>
    <w:rsid w:val="00DF54CA"/>
    <w:rsid w:val="00DF554B"/>
    <w:rsid w:val="00DF56C9"/>
    <w:rsid w:val="00DF5B64"/>
    <w:rsid w:val="00E00CF2"/>
    <w:rsid w:val="00E02794"/>
    <w:rsid w:val="00E03002"/>
    <w:rsid w:val="00E043E3"/>
    <w:rsid w:val="00E04A2F"/>
    <w:rsid w:val="00E0505B"/>
    <w:rsid w:val="00E0621F"/>
    <w:rsid w:val="00E11126"/>
    <w:rsid w:val="00E11280"/>
    <w:rsid w:val="00E11B8E"/>
    <w:rsid w:val="00E121CC"/>
    <w:rsid w:val="00E12359"/>
    <w:rsid w:val="00E152FF"/>
    <w:rsid w:val="00E1623B"/>
    <w:rsid w:val="00E22AF2"/>
    <w:rsid w:val="00E2345C"/>
    <w:rsid w:val="00E2461B"/>
    <w:rsid w:val="00E24886"/>
    <w:rsid w:val="00E25211"/>
    <w:rsid w:val="00E2534F"/>
    <w:rsid w:val="00E26244"/>
    <w:rsid w:val="00E276FB"/>
    <w:rsid w:val="00E32595"/>
    <w:rsid w:val="00E32DC6"/>
    <w:rsid w:val="00E33A74"/>
    <w:rsid w:val="00E34173"/>
    <w:rsid w:val="00E34A7A"/>
    <w:rsid w:val="00E4030B"/>
    <w:rsid w:val="00E41D56"/>
    <w:rsid w:val="00E41E8D"/>
    <w:rsid w:val="00E457DF"/>
    <w:rsid w:val="00E46642"/>
    <w:rsid w:val="00E46E48"/>
    <w:rsid w:val="00E50C87"/>
    <w:rsid w:val="00E5139A"/>
    <w:rsid w:val="00E52FFD"/>
    <w:rsid w:val="00E5413D"/>
    <w:rsid w:val="00E57977"/>
    <w:rsid w:val="00E62C08"/>
    <w:rsid w:val="00E635D7"/>
    <w:rsid w:val="00E67A13"/>
    <w:rsid w:val="00E703F4"/>
    <w:rsid w:val="00E70576"/>
    <w:rsid w:val="00E71DED"/>
    <w:rsid w:val="00E804B1"/>
    <w:rsid w:val="00E83954"/>
    <w:rsid w:val="00E86506"/>
    <w:rsid w:val="00E870F4"/>
    <w:rsid w:val="00E91730"/>
    <w:rsid w:val="00E96D02"/>
    <w:rsid w:val="00E96F04"/>
    <w:rsid w:val="00E97AEC"/>
    <w:rsid w:val="00E97BB8"/>
    <w:rsid w:val="00EA20FE"/>
    <w:rsid w:val="00EB3228"/>
    <w:rsid w:val="00EB491E"/>
    <w:rsid w:val="00EB681B"/>
    <w:rsid w:val="00EC4FAD"/>
    <w:rsid w:val="00ED1343"/>
    <w:rsid w:val="00ED1C19"/>
    <w:rsid w:val="00ED3426"/>
    <w:rsid w:val="00ED392B"/>
    <w:rsid w:val="00EE373B"/>
    <w:rsid w:val="00EE3CFA"/>
    <w:rsid w:val="00EE4004"/>
    <w:rsid w:val="00EE4866"/>
    <w:rsid w:val="00EE69E4"/>
    <w:rsid w:val="00EF1067"/>
    <w:rsid w:val="00EF2A7F"/>
    <w:rsid w:val="00EF3FDD"/>
    <w:rsid w:val="00EF682B"/>
    <w:rsid w:val="00EF7E90"/>
    <w:rsid w:val="00F002B6"/>
    <w:rsid w:val="00F036C3"/>
    <w:rsid w:val="00F0426F"/>
    <w:rsid w:val="00F05719"/>
    <w:rsid w:val="00F07C47"/>
    <w:rsid w:val="00F10AFE"/>
    <w:rsid w:val="00F119C9"/>
    <w:rsid w:val="00F15C6C"/>
    <w:rsid w:val="00F17173"/>
    <w:rsid w:val="00F20987"/>
    <w:rsid w:val="00F224DC"/>
    <w:rsid w:val="00F235B5"/>
    <w:rsid w:val="00F2687F"/>
    <w:rsid w:val="00F26A5E"/>
    <w:rsid w:val="00F27F29"/>
    <w:rsid w:val="00F32D54"/>
    <w:rsid w:val="00F36C54"/>
    <w:rsid w:val="00F418EA"/>
    <w:rsid w:val="00F41A29"/>
    <w:rsid w:val="00F44C1C"/>
    <w:rsid w:val="00F47168"/>
    <w:rsid w:val="00F50ABC"/>
    <w:rsid w:val="00F518DF"/>
    <w:rsid w:val="00F544DB"/>
    <w:rsid w:val="00F62AED"/>
    <w:rsid w:val="00F648EA"/>
    <w:rsid w:val="00F6502E"/>
    <w:rsid w:val="00F65663"/>
    <w:rsid w:val="00F75147"/>
    <w:rsid w:val="00F756C0"/>
    <w:rsid w:val="00F75A40"/>
    <w:rsid w:val="00F77637"/>
    <w:rsid w:val="00F8435D"/>
    <w:rsid w:val="00F844AD"/>
    <w:rsid w:val="00F862C3"/>
    <w:rsid w:val="00F862E5"/>
    <w:rsid w:val="00F87DD0"/>
    <w:rsid w:val="00F901DA"/>
    <w:rsid w:val="00F93360"/>
    <w:rsid w:val="00F93C4D"/>
    <w:rsid w:val="00F93FE4"/>
    <w:rsid w:val="00F95C35"/>
    <w:rsid w:val="00F973B6"/>
    <w:rsid w:val="00F97E4E"/>
    <w:rsid w:val="00FA1A40"/>
    <w:rsid w:val="00FA217B"/>
    <w:rsid w:val="00FA30A9"/>
    <w:rsid w:val="00FA42A6"/>
    <w:rsid w:val="00FA73D7"/>
    <w:rsid w:val="00FB005A"/>
    <w:rsid w:val="00FB0BC5"/>
    <w:rsid w:val="00FB0BCC"/>
    <w:rsid w:val="00FB153B"/>
    <w:rsid w:val="00FC0FE5"/>
    <w:rsid w:val="00FD07EA"/>
    <w:rsid w:val="00FD1119"/>
    <w:rsid w:val="00FD157F"/>
    <w:rsid w:val="00FD1ABC"/>
    <w:rsid w:val="00FD2E78"/>
    <w:rsid w:val="00FD7DDF"/>
    <w:rsid w:val="00FE2D95"/>
    <w:rsid w:val="00FE4C92"/>
    <w:rsid w:val="00FE6DFB"/>
    <w:rsid w:val="00FF0FAA"/>
    <w:rsid w:val="00FF1C66"/>
    <w:rsid w:val="00FF3759"/>
    <w:rsid w:val="00FF4396"/>
    <w:rsid w:val="00FF7F9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05326D-80E9-4154-9C06-1B3F158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sk-SK"/>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E7004"/>
    <w:pPr>
      <w:spacing w:line="288" w:lineRule="auto"/>
      <w:jc w:val="both"/>
    </w:pPr>
  </w:style>
  <w:style w:type="paragraph" w:styleId="Nadpis1">
    <w:name w:val="heading 1"/>
    <w:basedOn w:val="Normlny"/>
    <w:next w:val="Normlny"/>
    <w:link w:val="Nadpis1Char"/>
    <w:qFormat/>
    <w:rsid w:val="00CB50EC"/>
    <w:pPr>
      <w:numPr>
        <w:numId w:val="1"/>
      </w:numPr>
      <w:ind w:left="567" w:hanging="567"/>
      <w:outlineLvl w:val="0"/>
    </w:pPr>
    <w:rPr>
      <w:kern w:val="28"/>
    </w:rPr>
  </w:style>
  <w:style w:type="paragraph" w:styleId="Nadpis2">
    <w:name w:val="heading 2"/>
    <w:basedOn w:val="Normlny"/>
    <w:next w:val="Normlny"/>
    <w:link w:val="Nadpis2Char"/>
    <w:qFormat/>
    <w:rsid w:val="00CB50EC"/>
    <w:pPr>
      <w:numPr>
        <w:ilvl w:val="1"/>
        <w:numId w:val="1"/>
      </w:numPr>
      <w:ind w:left="567" w:hanging="567"/>
      <w:outlineLvl w:val="1"/>
    </w:pPr>
  </w:style>
  <w:style w:type="paragraph" w:styleId="Nadpis3">
    <w:name w:val="heading 3"/>
    <w:basedOn w:val="Normlny"/>
    <w:next w:val="Normlny"/>
    <w:link w:val="Nadpis3Char"/>
    <w:qFormat/>
    <w:rsid w:val="00CB50EC"/>
    <w:pPr>
      <w:numPr>
        <w:ilvl w:val="2"/>
        <w:numId w:val="1"/>
      </w:numPr>
      <w:ind w:left="567" w:hanging="567"/>
      <w:outlineLvl w:val="2"/>
    </w:pPr>
  </w:style>
  <w:style w:type="paragraph" w:styleId="Nadpis4">
    <w:name w:val="heading 4"/>
    <w:basedOn w:val="Normlny"/>
    <w:next w:val="Normlny"/>
    <w:link w:val="Nadpis4Char"/>
    <w:qFormat/>
    <w:rsid w:val="00CB50EC"/>
    <w:pPr>
      <w:numPr>
        <w:ilvl w:val="3"/>
        <w:numId w:val="1"/>
      </w:numPr>
      <w:ind w:left="567" w:hanging="567"/>
      <w:outlineLvl w:val="3"/>
    </w:pPr>
  </w:style>
  <w:style w:type="paragraph" w:styleId="Nadpis5">
    <w:name w:val="heading 5"/>
    <w:basedOn w:val="Normlny"/>
    <w:next w:val="Normlny"/>
    <w:link w:val="Nadpis5Char"/>
    <w:qFormat/>
    <w:rsid w:val="00CB50EC"/>
    <w:pPr>
      <w:numPr>
        <w:ilvl w:val="4"/>
        <w:numId w:val="1"/>
      </w:numPr>
      <w:ind w:left="567" w:hanging="567"/>
      <w:outlineLvl w:val="4"/>
    </w:pPr>
  </w:style>
  <w:style w:type="paragraph" w:styleId="Nadpis6">
    <w:name w:val="heading 6"/>
    <w:basedOn w:val="Normlny"/>
    <w:next w:val="Normlny"/>
    <w:link w:val="Nadpis6Char"/>
    <w:qFormat/>
    <w:rsid w:val="00CB50EC"/>
    <w:pPr>
      <w:numPr>
        <w:ilvl w:val="5"/>
        <w:numId w:val="1"/>
      </w:numPr>
      <w:ind w:left="567" w:hanging="567"/>
      <w:outlineLvl w:val="5"/>
    </w:pPr>
  </w:style>
  <w:style w:type="paragraph" w:styleId="Nadpis7">
    <w:name w:val="heading 7"/>
    <w:basedOn w:val="Normlny"/>
    <w:next w:val="Normlny"/>
    <w:link w:val="Nadpis7Char"/>
    <w:qFormat/>
    <w:rsid w:val="00CB50EC"/>
    <w:pPr>
      <w:numPr>
        <w:ilvl w:val="6"/>
        <w:numId w:val="1"/>
      </w:numPr>
      <w:ind w:left="567" w:hanging="567"/>
      <w:outlineLvl w:val="6"/>
    </w:pPr>
  </w:style>
  <w:style w:type="paragraph" w:styleId="Nadpis8">
    <w:name w:val="heading 8"/>
    <w:basedOn w:val="Normlny"/>
    <w:next w:val="Normlny"/>
    <w:link w:val="Nadpis8Char"/>
    <w:qFormat/>
    <w:rsid w:val="00CB50EC"/>
    <w:pPr>
      <w:numPr>
        <w:ilvl w:val="7"/>
        <w:numId w:val="1"/>
      </w:numPr>
      <w:ind w:left="567" w:hanging="567"/>
      <w:outlineLvl w:val="7"/>
    </w:pPr>
  </w:style>
  <w:style w:type="paragraph" w:styleId="Nadpis9">
    <w:name w:val="heading 9"/>
    <w:basedOn w:val="Normlny"/>
    <w:next w:val="Normlny"/>
    <w:link w:val="Nadpis9Char"/>
    <w:qFormat/>
    <w:rsid w:val="00CB50EC"/>
    <w:pPr>
      <w:numPr>
        <w:ilvl w:val="8"/>
        <w:numId w:val="1"/>
      </w:numPr>
      <w:ind w:left="567" w:hanging="567"/>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CB1536"/>
    <w:rPr>
      <w:kern w:val="28"/>
      <w:lang w:val="sk-SK" w:eastAsia="sk-SK" w:bidi="sk-SK"/>
    </w:rPr>
  </w:style>
  <w:style w:type="character" w:customStyle="1" w:styleId="Nadpis2Char">
    <w:name w:val="Nadpis 2 Char"/>
    <w:basedOn w:val="Predvolenpsmoodseku"/>
    <w:link w:val="Nadpis2"/>
    <w:locked/>
    <w:rsid w:val="00CB1536"/>
    <w:rPr>
      <w:lang w:val="sk-SK" w:eastAsia="sk-SK" w:bidi="sk-SK"/>
    </w:rPr>
  </w:style>
  <w:style w:type="character" w:customStyle="1" w:styleId="Nadpis3Char">
    <w:name w:val="Nadpis 3 Char"/>
    <w:basedOn w:val="Predvolenpsmoodseku"/>
    <w:link w:val="Nadpis3"/>
    <w:locked/>
    <w:rsid w:val="00CB1536"/>
    <w:rPr>
      <w:lang w:val="sk-SK" w:eastAsia="sk-SK" w:bidi="sk-SK"/>
    </w:rPr>
  </w:style>
  <w:style w:type="character" w:customStyle="1" w:styleId="Nadpis4Char">
    <w:name w:val="Nadpis 4 Char"/>
    <w:basedOn w:val="Predvolenpsmoodseku"/>
    <w:link w:val="Nadpis4"/>
    <w:locked/>
    <w:rsid w:val="00CB1536"/>
    <w:rPr>
      <w:lang w:val="sk-SK" w:eastAsia="sk-SK" w:bidi="sk-SK"/>
    </w:rPr>
  </w:style>
  <w:style w:type="character" w:customStyle="1" w:styleId="Nadpis5Char">
    <w:name w:val="Nadpis 5 Char"/>
    <w:basedOn w:val="Predvolenpsmoodseku"/>
    <w:link w:val="Nadpis5"/>
    <w:locked/>
    <w:rsid w:val="00CB1536"/>
    <w:rPr>
      <w:lang w:val="sk-SK" w:eastAsia="sk-SK" w:bidi="sk-SK"/>
    </w:rPr>
  </w:style>
  <w:style w:type="character" w:customStyle="1" w:styleId="Nadpis6Char">
    <w:name w:val="Nadpis 6 Char"/>
    <w:basedOn w:val="Predvolenpsmoodseku"/>
    <w:link w:val="Nadpis6"/>
    <w:locked/>
    <w:rsid w:val="00CB1536"/>
    <w:rPr>
      <w:lang w:val="sk-SK" w:eastAsia="sk-SK" w:bidi="sk-SK"/>
    </w:rPr>
  </w:style>
  <w:style w:type="character" w:customStyle="1" w:styleId="Nadpis7Char">
    <w:name w:val="Nadpis 7 Char"/>
    <w:basedOn w:val="Predvolenpsmoodseku"/>
    <w:link w:val="Nadpis7"/>
    <w:locked/>
    <w:rsid w:val="00CB1536"/>
    <w:rPr>
      <w:lang w:val="sk-SK" w:eastAsia="sk-SK" w:bidi="sk-SK"/>
    </w:rPr>
  </w:style>
  <w:style w:type="character" w:customStyle="1" w:styleId="Nadpis8Char">
    <w:name w:val="Nadpis 8 Char"/>
    <w:basedOn w:val="Predvolenpsmoodseku"/>
    <w:link w:val="Nadpis8"/>
    <w:locked/>
    <w:rsid w:val="00CB1536"/>
    <w:rPr>
      <w:lang w:val="sk-SK" w:eastAsia="sk-SK" w:bidi="sk-SK"/>
    </w:rPr>
  </w:style>
  <w:style w:type="character" w:customStyle="1" w:styleId="Nadpis9Char">
    <w:name w:val="Nadpis 9 Char"/>
    <w:basedOn w:val="Predvolenpsmoodseku"/>
    <w:link w:val="Nadpis9"/>
    <w:locked/>
    <w:rsid w:val="00CB1536"/>
    <w:rPr>
      <w:lang w:val="sk-SK" w:eastAsia="sk-SK" w:bidi="sk-SK"/>
    </w:rPr>
  </w:style>
  <w:style w:type="paragraph" w:styleId="Pta">
    <w:name w:val="footer"/>
    <w:basedOn w:val="Normlny"/>
    <w:link w:val="PtaChar"/>
    <w:qFormat/>
    <w:rsid w:val="007E7004"/>
  </w:style>
  <w:style w:type="character" w:customStyle="1" w:styleId="PtaChar">
    <w:name w:val="Päta Char"/>
    <w:basedOn w:val="Predvolenpsmoodseku"/>
    <w:link w:val="Pta"/>
    <w:locked/>
    <w:rsid w:val="00CB1536"/>
    <w:rPr>
      <w:lang w:val="sk-SK" w:eastAsia="sk-SK" w:bidi="sk-SK"/>
    </w:rPr>
  </w:style>
  <w:style w:type="paragraph" w:styleId="Textpoznmkypodiarou">
    <w:name w:val="footnote text"/>
    <w:basedOn w:val="Normlny"/>
    <w:link w:val="TextpoznmkypodiarouChar"/>
    <w:qFormat/>
    <w:rsid w:val="007E7004"/>
    <w:pPr>
      <w:keepLines/>
      <w:spacing w:after="60" w:line="240" w:lineRule="auto"/>
      <w:ind w:left="567" w:hanging="567"/>
    </w:pPr>
    <w:rPr>
      <w:sz w:val="16"/>
    </w:rPr>
  </w:style>
  <w:style w:type="character" w:customStyle="1" w:styleId="TextpoznmkypodiarouChar">
    <w:name w:val="Text poznámky pod čiarou Char"/>
    <w:basedOn w:val="Predvolenpsmoodseku"/>
    <w:link w:val="Textpoznmkypodiarou"/>
    <w:locked/>
    <w:rsid w:val="00CB1536"/>
    <w:rPr>
      <w:sz w:val="16"/>
      <w:lang w:val="sk-SK" w:eastAsia="sk-SK" w:bidi="sk-SK"/>
    </w:rPr>
  </w:style>
  <w:style w:type="paragraph" w:styleId="Hlavika">
    <w:name w:val="header"/>
    <w:basedOn w:val="Normlny"/>
    <w:link w:val="HlavikaChar"/>
    <w:qFormat/>
    <w:rsid w:val="007E7004"/>
  </w:style>
  <w:style w:type="character" w:customStyle="1" w:styleId="HlavikaChar">
    <w:name w:val="Hlavička Char"/>
    <w:basedOn w:val="Predvolenpsmoodseku"/>
    <w:link w:val="Hlavika"/>
    <w:locked/>
    <w:rsid w:val="00CB1536"/>
    <w:rPr>
      <w:lang w:val="sk-SK" w:eastAsia="sk-SK" w:bidi="sk-SK"/>
    </w:rPr>
  </w:style>
  <w:style w:type="character" w:styleId="Hypertextovprepojenie">
    <w:name w:val="Hyperlink"/>
    <w:basedOn w:val="Predvolenpsmoodseku"/>
    <w:uiPriority w:val="99"/>
    <w:rsid w:val="00934C10"/>
    <w:rPr>
      <w:color w:val="0000FF"/>
      <w:u w:val="single"/>
    </w:rPr>
  </w:style>
  <w:style w:type="character" w:styleId="Odkaznapoznmkupodiarou">
    <w:name w:val="footnote reference"/>
    <w:basedOn w:val="Predvolenpsmoodseku"/>
    <w:unhideWhenUsed/>
    <w:qFormat/>
    <w:rsid w:val="007E7004"/>
    <w:rPr>
      <w:sz w:val="24"/>
      <w:vertAlign w:val="superscript"/>
    </w:rPr>
  </w:style>
  <w:style w:type="character" w:styleId="PouitHypertextovPrepojenie">
    <w:name w:val="FollowedHyperlink"/>
    <w:basedOn w:val="Predvolenpsmoodseku"/>
    <w:uiPriority w:val="99"/>
    <w:rsid w:val="00934C10"/>
    <w:rPr>
      <w:color w:val="800080"/>
      <w:u w:val="single"/>
    </w:rPr>
  </w:style>
  <w:style w:type="paragraph" w:customStyle="1" w:styleId="LOGO">
    <w:name w:val="LOGO"/>
    <w:basedOn w:val="Normlny"/>
    <w:uiPriority w:val="99"/>
    <w:rsid w:val="00934C10"/>
    <w:pPr>
      <w:jc w:val="center"/>
    </w:pPr>
    <w:rPr>
      <w:rFonts w:ascii="Arial" w:hAnsi="Arial" w:cs="Arial"/>
      <w:b/>
      <w:bCs/>
      <w:i/>
      <w:iCs/>
      <w:sz w:val="20"/>
    </w:rPr>
  </w:style>
  <w:style w:type="paragraph" w:styleId="Revzia">
    <w:name w:val="Revision"/>
    <w:hidden/>
    <w:uiPriority w:val="99"/>
    <w:semiHidden/>
    <w:rsid w:val="00B2372C"/>
  </w:style>
  <w:style w:type="paragraph" w:customStyle="1" w:styleId="quotes">
    <w:name w:val="quotes"/>
    <w:basedOn w:val="Normlny"/>
    <w:next w:val="Normlny"/>
    <w:rsid w:val="007E7004"/>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70">
      <w:bodyDiv w:val="1"/>
      <w:marLeft w:val="0"/>
      <w:marRight w:val="0"/>
      <w:marTop w:val="0"/>
      <w:marBottom w:val="0"/>
      <w:divBdr>
        <w:top w:val="none" w:sz="0" w:space="0" w:color="auto"/>
        <w:left w:val="none" w:sz="0" w:space="0" w:color="auto"/>
        <w:bottom w:val="none" w:sz="0" w:space="0" w:color="auto"/>
        <w:right w:val="none" w:sz="0" w:space="0" w:color="auto"/>
      </w:divBdr>
    </w:div>
    <w:div w:id="50270632">
      <w:bodyDiv w:val="1"/>
      <w:marLeft w:val="0"/>
      <w:marRight w:val="0"/>
      <w:marTop w:val="0"/>
      <w:marBottom w:val="0"/>
      <w:divBdr>
        <w:top w:val="none" w:sz="0" w:space="0" w:color="auto"/>
        <w:left w:val="none" w:sz="0" w:space="0" w:color="auto"/>
        <w:bottom w:val="none" w:sz="0" w:space="0" w:color="auto"/>
        <w:right w:val="none" w:sz="0" w:space="0" w:color="auto"/>
      </w:divBdr>
    </w:div>
    <w:div w:id="73944164">
      <w:bodyDiv w:val="1"/>
      <w:marLeft w:val="0"/>
      <w:marRight w:val="0"/>
      <w:marTop w:val="0"/>
      <w:marBottom w:val="0"/>
      <w:divBdr>
        <w:top w:val="none" w:sz="0" w:space="0" w:color="auto"/>
        <w:left w:val="none" w:sz="0" w:space="0" w:color="auto"/>
        <w:bottom w:val="none" w:sz="0" w:space="0" w:color="auto"/>
        <w:right w:val="none" w:sz="0" w:space="0" w:color="auto"/>
      </w:divBdr>
    </w:div>
    <w:div w:id="37731861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83900923">
      <w:bodyDiv w:val="1"/>
      <w:marLeft w:val="0"/>
      <w:marRight w:val="0"/>
      <w:marTop w:val="0"/>
      <w:marBottom w:val="0"/>
      <w:divBdr>
        <w:top w:val="none" w:sz="0" w:space="0" w:color="auto"/>
        <w:left w:val="none" w:sz="0" w:space="0" w:color="auto"/>
        <w:bottom w:val="none" w:sz="0" w:space="0" w:color="auto"/>
        <w:right w:val="none" w:sz="0" w:space="0" w:color="auto"/>
      </w:divBdr>
    </w:div>
    <w:div w:id="800615874">
      <w:bodyDiv w:val="1"/>
      <w:marLeft w:val="0"/>
      <w:marRight w:val="0"/>
      <w:marTop w:val="0"/>
      <w:marBottom w:val="0"/>
      <w:divBdr>
        <w:top w:val="none" w:sz="0" w:space="0" w:color="auto"/>
        <w:left w:val="none" w:sz="0" w:space="0" w:color="auto"/>
        <w:bottom w:val="none" w:sz="0" w:space="0" w:color="auto"/>
        <w:right w:val="none" w:sz="0" w:space="0" w:color="auto"/>
      </w:divBdr>
    </w:div>
    <w:div w:id="852569893">
      <w:bodyDiv w:val="1"/>
      <w:marLeft w:val="0"/>
      <w:marRight w:val="0"/>
      <w:marTop w:val="0"/>
      <w:marBottom w:val="0"/>
      <w:divBdr>
        <w:top w:val="none" w:sz="0" w:space="0" w:color="auto"/>
        <w:left w:val="none" w:sz="0" w:space="0" w:color="auto"/>
        <w:bottom w:val="none" w:sz="0" w:space="0" w:color="auto"/>
        <w:right w:val="none" w:sz="0" w:space="0" w:color="auto"/>
      </w:divBdr>
    </w:div>
    <w:div w:id="959923283">
      <w:bodyDiv w:val="1"/>
      <w:marLeft w:val="0"/>
      <w:marRight w:val="0"/>
      <w:marTop w:val="0"/>
      <w:marBottom w:val="0"/>
      <w:divBdr>
        <w:top w:val="none" w:sz="0" w:space="0" w:color="auto"/>
        <w:left w:val="none" w:sz="0" w:space="0" w:color="auto"/>
        <w:bottom w:val="none" w:sz="0" w:space="0" w:color="auto"/>
        <w:right w:val="none" w:sz="0" w:space="0" w:color="auto"/>
      </w:divBdr>
    </w:div>
    <w:div w:id="1227837359">
      <w:bodyDiv w:val="1"/>
      <w:marLeft w:val="0"/>
      <w:marRight w:val="0"/>
      <w:marTop w:val="0"/>
      <w:marBottom w:val="0"/>
      <w:divBdr>
        <w:top w:val="none" w:sz="0" w:space="0" w:color="auto"/>
        <w:left w:val="none" w:sz="0" w:space="0" w:color="auto"/>
        <w:bottom w:val="none" w:sz="0" w:space="0" w:color="auto"/>
        <w:right w:val="none" w:sz="0" w:space="0" w:color="auto"/>
      </w:divBdr>
      <w:divsChild>
        <w:div w:id="1146625508">
          <w:marLeft w:val="0"/>
          <w:marRight w:val="0"/>
          <w:marTop w:val="0"/>
          <w:marBottom w:val="0"/>
          <w:divBdr>
            <w:top w:val="none" w:sz="0" w:space="0" w:color="auto"/>
            <w:left w:val="none" w:sz="0" w:space="0" w:color="auto"/>
            <w:bottom w:val="none" w:sz="0" w:space="0" w:color="auto"/>
            <w:right w:val="none" w:sz="0" w:space="0" w:color="auto"/>
          </w:divBdr>
          <w:divsChild>
            <w:div w:id="218253465">
              <w:marLeft w:val="0"/>
              <w:marRight w:val="0"/>
              <w:marTop w:val="0"/>
              <w:marBottom w:val="0"/>
              <w:divBdr>
                <w:top w:val="none" w:sz="0" w:space="0" w:color="auto"/>
                <w:left w:val="none" w:sz="0" w:space="0" w:color="auto"/>
                <w:bottom w:val="none" w:sz="0" w:space="0" w:color="auto"/>
                <w:right w:val="none" w:sz="0" w:space="0" w:color="auto"/>
              </w:divBdr>
              <w:divsChild>
                <w:div w:id="5959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35268">
      <w:bodyDiv w:val="1"/>
      <w:marLeft w:val="0"/>
      <w:marRight w:val="0"/>
      <w:marTop w:val="0"/>
      <w:marBottom w:val="0"/>
      <w:divBdr>
        <w:top w:val="none" w:sz="0" w:space="0" w:color="auto"/>
        <w:left w:val="none" w:sz="0" w:space="0" w:color="auto"/>
        <w:bottom w:val="none" w:sz="0" w:space="0" w:color="auto"/>
        <w:right w:val="none" w:sz="0" w:space="0" w:color="auto"/>
      </w:divBdr>
    </w:div>
    <w:div w:id="1440370263">
      <w:bodyDiv w:val="1"/>
      <w:marLeft w:val="0"/>
      <w:marRight w:val="0"/>
      <w:marTop w:val="0"/>
      <w:marBottom w:val="0"/>
      <w:divBdr>
        <w:top w:val="none" w:sz="0" w:space="0" w:color="auto"/>
        <w:left w:val="none" w:sz="0" w:space="0" w:color="auto"/>
        <w:bottom w:val="none" w:sz="0" w:space="0" w:color="auto"/>
        <w:right w:val="none" w:sz="0" w:space="0" w:color="auto"/>
      </w:divBdr>
    </w:div>
    <w:div w:id="1462455379">
      <w:bodyDiv w:val="1"/>
      <w:marLeft w:val="0"/>
      <w:marRight w:val="0"/>
      <w:marTop w:val="0"/>
      <w:marBottom w:val="0"/>
      <w:divBdr>
        <w:top w:val="none" w:sz="0" w:space="0" w:color="auto"/>
        <w:left w:val="none" w:sz="0" w:space="0" w:color="auto"/>
        <w:bottom w:val="none" w:sz="0" w:space="0" w:color="auto"/>
        <w:right w:val="none" w:sz="0" w:space="0" w:color="auto"/>
      </w:divBdr>
    </w:div>
    <w:div w:id="1486243283">
      <w:bodyDiv w:val="1"/>
      <w:marLeft w:val="0"/>
      <w:marRight w:val="0"/>
      <w:marTop w:val="0"/>
      <w:marBottom w:val="0"/>
      <w:divBdr>
        <w:top w:val="none" w:sz="0" w:space="0" w:color="auto"/>
        <w:left w:val="none" w:sz="0" w:space="0" w:color="auto"/>
        <w:bottom w:val="none" w:sz="0" w:space="0" w:color="auto"/>
        <w:right w:val="none" w:sz="0" w:space="0" w:color="auto"/>
      </w:divBdr>
    </w:div>
    <w:div w:id="1751657303">
      <w:bodyDiv w:val="1"/>
      <w:marLeft w:val="0"/>
      <w:marRight w:val="0"/>
      <w:marTop w:val="0"/>
      <w:marBottom w:val="0"/>
      <w:divBdr>
        <w:top w:val="none" w:sz="0" w:space="0" w:color="auto"/>
        <w:left w:val="none" w:sz="0" w:space="0" w:color="auto"/>
        <w:bottom w:val="none" w:sz="0" w:space="0" w:color="auto"/>
        <w:right w:val="none" w:sz="0" w:space="0" w:color="auto"/>
      </w:divBdr>
    </w:div>
    <w:div w:id="1758406158">
      <w:bodyDiv w:val="1"/>
      <w:marLeft w:val="0"/>
      <w:marRight w:val="0"/>
      <w:marTop w:val="0"/>
      <w:marBottom w:val="0"/>
      <w:divBdr>
        <w:top w:val="none" w:sz="0" w:space="0" w:color="auto"/>
        <w:left w:val="none" w:sz="0" w:space="0" w:color="auto"/>
        <w:bottom w:val="none" w:sz="0" w:space="0" w:color="auto"/>
        <w:right w:val="none" w:sz="0" w:space="0" w:color="auto"/>
      </w:divBdr>
    </w:div>
    <w:div w:id="1856454070">
      <w:bodyDiv w:val="1"/>
      <w:marLeft w:val="0"/>
      <w:marRight w:val="0"/>
      <w:marTop w:val="0"/>
      <w:marBottom w:val="0"/>
      <w:divBdr>
        <w:top w:val="none" w:sz="0" w:space="0" w:color="auto"/>
        <w:left w:val="none" w:sz="0" w:space="0" w:color="auto"/>
        <w:bottom w:val="none" w:sz="0" w:space="0" w:color="auto"/>
        <w:right w:val="none" w:sz="0" w:space="0" w:color="auto"/>
      </w:divBdr>
    </w:div>
    <w:div w:id="1985041585">
      <w:bodyDiv w:val="1"/>
      <w:marLeft w:val="0"/>
      <w:marRight w:val="0"/>
      <w:marTop w:val="0"/>
      <w:marBottom w:val="0"/>
      <w:divBdr>
        <w:top w:val="none" w:sz="0" w:space="0" w:color="auto"/>
        <w:left w:val="none" w:sz="0" w:space="0" w:color="auto"/>
        <w:bottom w:val="none" w:sz="0" w:space="0" w:color="auto"/>
        <w:right w:val="none" w:sz="0" w:space="0" w:color="auto"/>
      </w:divBdr>
    </w:div>
    <w:div w:id="206151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x@eesc.europa.eu"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our-work/opinions-information-reports/opinions/eu-enlargement-strategy" TargetMode="External"/><Relationship Id="rId13" Type="http://schemas.openxmlformats.org/officeDocument/2006/relationships/hyperlink" Target="http://www.worldbank.org/en/region/eca/publication/western-balkan-labor-market-report" TargetMode="External"/><Relationship Id="rId3" Type="http://schemas.openxmlformats.org/officeDocument/2006/relationships/hyperlink" Target="https://www.eesc.europa.eu/en/our-work/opinions-information-reports/opinions/eu-enlargement-strategy" TargetMode="External"/><Relationship Id="rId7" Type="http://schemas.openxmlformats.org/officeDocument/2006/relationships/hyperlink" Target="https://www.eesc.europa.eu/en/our-work/opinions-information-reports/opinions/eu-enlargement-strategy" TargetMode="External"/><Relationship Id="rId12" Type="http://schemas.openxmlformats.org/officeDocument/2006/relationships/hyperlink" Target="http://www.worldbank.org/en/region/eca/publication/revving-up-engines-of-growth-and-prosperity-in-western-balkans" TargetMode="External"/><Relationship Id="rId2" Type="http://schemas.openxmlformats.org/officeDocument/2006/relationships/hyperlink" Target="http://eur-lex.europa.eu/legal-content/SK/TXT/?qid=1521118941636&amp;uri=CELEX:52018DC0065" TargetMode="External"/><Relationship Id="rId1" Type="http://schemas.openxmlformats.org/officeDocument/2006/relationships/hyperlink" Target="http://eur-lex.europa.eu/legal-content/SK/TXT/?qid=1521118941636&amp;uri=CELEX:52018DC0065" TargetMode="External"/><Relationship Id="rId6" Type="http://schemas.openxmlformats.org/officeDocument/2006/relationships/hyperlink" Target="https://ec.europa.eu/neighbourhood-enlargement/policy/glossary/terms/accession-criteria_en" TargetMode="External"/><Relationship Id="rId11" Type="http://schemas.openxmlformats.org/officeDocument/2006/relationships/hyperlink" Target="https://www.eesc.europa.eu/en/agenda/our-events/events/6th-western-balkans-civil-society-forum/final-declaration" TargetMode="External"/><Relationship Id="rId5" Type="http://schemas.openxmlformats.org/officeDocument/2006/relationships/hyperlink" Target="https://www.eesc.europa.eu/en/our-work/opinions-information-reports/opinions/eu-enlargement-strategy" TargetMode="External"/><Relationship Id="rId15" Type="http://schemas.openxmlformats.org/officeDocument/2006/relationships/hyperlink" Target="https://www.eesc.europa.eu/en/agenda/our-events/events/6th-western-balkans-civil-society-forum/final-declaration" TargetMode="External"/><Relationship Id="rId10" Type="http://schemas.openxmlformats.org/officeDocument/2006/relationships/hyperlink" Target="https://ec.europa.eu/neighbourhood-enlargement/sites/near/files/ipa_ii_2016_039-858.13_mc_pcve.pdf" TargetMode="External"/><Relationship Id="rId4" Type="http://schemas.openxmlformats.org/officeDocument/2006/relationships/hyperlink" Target="http://shtetiweb.org/berlin-process/" TargetMode="External"/><Relationship Id="rId9" Type="http://schemas.openxmlformats.org/officeDocument/2006/relationships/hyperlink" Target="http://wbcti.wb-iisg.com/" TargetMode="External"/><Relationship Id="rId14" Type="http://schemas.openxmlformats.org/officeDocument/2006/relationships/hyperlink" Target="https://www.eesc.europa.eu/en/our-work/opinions-information-reports/opinions/eu-enlargemen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WTPCSN73YJ26-7-8386</_dlc_DocId>
    <_dlc_DocIdUrl xmlns="8a3471f6-0f36-4ccf-b5ee-1ca67ea797ef">
      <Url>http://dm/EESC/2017/_layouts/DocIdRedir.aspx?ID=WTPCSN73YJ26-7-8386</Url>
      <Description>WTPCSN73YJ26-7-8386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MeetingNumber xmlns="f5b869d2-addc-441a-a17c-05e3e333473c"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2018-03-20T12:00:00+00:00</ProductionDate>
    <DocumentNumber xmlns="f5b869d2-addc-441a-a17c-05e3e333473c">4948</DocumentNumber>
    <FicheYear xmlns="8a3471f6-0f36-4ccf-b5ee-1ca67ea797ef">2017</FicheYear>
    <DocumentVersion xmlns="8a3471f6-0f36-4ccf-b5ee-1ca67ea797ef">0</DocumentVersion>
    <DossierNumber xmlns="8a3471f6-0f36-4ccf-b5ee-1ca67ea797ef">497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2018-03-28T12:00:00+00:00</MeetingDate>
    <TaxCatchAll xmlns="8a3471f6-0f36-4ccf-b5ee-1ca67ea797ef">
      <Value>37</Value>
      <Value>40</Value>
      <Value>38</Value>
      <Value>34</Value>
      <Value>36</Value>
      <Value>35</Value>
      <Value>81</Value>
      <Value>33</Value>
      <Value>32</Value>
      <Value>31</Value>
      <Value>30</Value>
      <Value>29</Value>
      <Value>28</Value>
      <Value>27</Value>
      <Value>26</Value>
      <Value>25</Value>
      <Value>24</Value>
      <Value>23</Value>
      <Value>22</Value>
      <Value>18</Value>
      <Value>111</Value>
      <Value>15</Value>
      <Value>14</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8a3471f6-0f36-4ccf-b5ee-1ca67ea797ef">DIMITRIADIS &amp; ZORKO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3334</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c240c7b9-469b-4d95-ac60-67933f315822</TermId>
        </TermInfo>
      </Terms>
    </MeetingName_0>
    <RequestingService xmlns="8a3471f6-0f36-4ccf-b5ee-1ca67ea797ef">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FC97235EC7FCE745BC5B366FF1DC5038" ma:contentTypeVersion="4" ma:contentTypeDescription="Defines the documents for Document Manager V2" ma:contentTypeScope="" ma:versionID="dd8bd2c363acffd41da2385541d02183">
  <xsd:schema xmlns:xsd="http://www.w3.org/2001/XMLSchema" xmlns:xs="http://www.w3.org/2001/XMLSchema" xmlns:p="http://schemas.microsoft.com/office/2006/metadata/properties" xmlns:ns2="8a3471f6-0f36-4ccf-b5ee-1ca67ea797ef" xmlns:ns3="http://schemas.microsoft.com/sharepoint/v3/fields" xmlns:ns4="f5b869d2-addc-441a-a17c-05e3e333473c" targetNamespace="http://schemas.microsoft.com/office/2006/metadata/properties" ma:root="true" ma:fieldsID="f965c7d44b4ce79ef8fdc009f49c1c01" ns2:_="" ns3:_="" ns4:_="">
    <xsd:import namespace="8a3471f6-0f36-4ccf-b5ee-1ca67ea797ef"/>
    <xsd:import namespace="http://schemas.microsoft.com/sharepoint/v3/fields"/>
    <xsd:import namespace="f5b869d2-addc-441a-a17c-05e3e33347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b869d2-addc-441a-a17c-05e3e333473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ds:schemaRefs>
    <ds:schemaRef ds:uri="http://schemas.microsoft.com/office/2006/metadata/properties"/>
    <ds:schemaRef ds:uri="http://schemas.microsoft.com/office/infopath/2007/PartnerControls"/>
    <ds:schemaRef ds:uri="8a3471f6-0f36-4ccf-b5ee-1ca67ea797ef"/>
    <ds:schemaRef ds:uri="http://schemas.microsoft.com/sharepoint/v3/fields"/>
    <ds:schemaRef ds:uri="f5b869d2-addc-441a-a17c-05e3e333473c"/>
  </ds:schemaRefs>
</ds:datastoreItem>
</file>

<file path=customXml/itemProps2.xml><?xml version="1.0" encoding="utf-8"?>
<ds:datastoreItem xmlns:ds="http://schemas.openxmlformats.org/officeDocument/2006/customXml" ds:itemID="{BA470676-BA11-4F02-B286-5FDA13F4F3A5}">
  <ds:schemaRefs>
    <ds:schemaRef ds:uri="http://schemas.microsoft.com/sharepoint/v3/contenttype/forms"/>
  </ds:schemaRefs>
</ds:datastoreItem>
</file>

<file path=customXml/itemProps3.xml><?xml version="1.0" encoding="utf-8"?>
<ds:datastoreItem xmlns:ds="http://schemas.openxmlformats.org/officeDocument/2006/customXml" ds:itemID="{58DEDF0C-9DAA-4B99-9B53-8BB07459AADE}">
  <ds:schemaRefs>
    <ds:schemaRef ds:uri="http://schemas.microsoft.com/sharepoint/events"/>
  </ds:schemaRefs>
</ds:datastoreItem>
</file>

<file path=customXml/itemProps4.xml><?xml version="1.0" encoding="utf-8"?>
<ds:datastoreItem xmlns:ds="http://schemas.openxmlformats.org/officeDocument/2006/customXml" ds:itemID="{EB764601-F860-4F81-B047-82489E54AE62}">
  <ds:schemaRefs>
    <ds:schemaRef ds:uri="http://schemas.openxmlformats.org/officeDocument/2006/bibliography"/>
  </ds:schemaRefs>
</ds:datastoreItem>
</file>

<file path=customXml/itemProps5.xml><?xml version="1.0" encoding="utf-8"?>
<ds:datastoreItem xmlns:ds="http://schemas.openxmlformats.org/officeDocument/2006/customXml" ds:itemID="{288EF9ED-A77C-4B7F-A5E8-A50DBB95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71f6-0f36-4ccf-b5ee-1ca67ea797ef"/>
    <ds:schemaRef ds:uri="http://schemas.microsoft.com/sharepoint/v3/fields"/>
    <ds:schemaRef ds:uri="f5b869d2-addc-441a-a17c-05e3e333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996DA3-FB2A-4154-B775-FDA8C4F2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3509</Words>
  <Characters>20005</Characters>
  <Application>Microsoft Office Word</Application>
  <DocSecurity>0</DocSecurity>
  <Lines>166</Lines>
  <Paragraphs>46</Paragraphs>
  <ScaleCrop>false</ScaleCrop>
  <HeadingPairs>
    <vt:vector size="6" baseType="variant">
      <vt:variant>
        <vt:lpstr>Názov</vt:lpstr>
      </vt:variant>
      <vt:variant>
        <vt:i4>1</vt:i4>
      </vt:variant>
      <vt:variant>
        <vt:lpstr>Title</vt:lpstr>
      </vt:variant>
      <vt:variant>
        <vt:i4>1</vt:i4>
      </vt:variant>
      <vt:variant>
        <vt:lpstr>Titlu</vt:lpstr>
      </vt:variant>
      <vt:variant>
        <vt:i4>1</vt:i4>
      </vt:variant>
    </vt:vector>
  </HeadingPairs>
  <TitlesOfParts>
    <vt:vector size="3" baseType="lpstr">
      <vt:lpstr>Hospodárska a sociálna súdržnosť a európska integrácia západného Balkánu – výzvy a priority</vt:lpstr>
      <vt:lpstr>Economic and social cohesion and European integration of the Western Balkans  challenges and priorities</vt:lpstr>
      <vt:lpstr>European Agenda on Migration: Second implementation package - A permanent crisis relocation mechanism under the Dublin system</vt:lpstr>
    </vt:vector>
  </TitlesOfParts>
  <Company>CESE-CdR</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Hospodárska a sociálna súdržnosť a európska integrácia západného Balkánu – výzvy a priority</dc:title>
  <dc:creator>Carlotta Iapichino</dc:creator>
  <cp:keywords>EESC-2017-04948-00-00-PA-TRA-EN</cp:keywords>
  <dc:description>Rapporteur: DIMITRIADIS &amp; ZORKO - Original language: EN - Date of document: 20/03/2018 - Date of meeting: 28/03/2018 - External documents:  - Administrator: M. Hoic David</dc:description>
  <cp:lastModifiedBy>Belová</cp:lastModifiedBy>
  <cp:revision>2</cp:revision>
  <cp:lastPrinted>2018-03-12T16:39:00Z</cp:lastPrinted>
  <dcterms:created xsi:type="dcterms:W3CDTF">2018-03-22T14:25:00Z</dcterms:created>
  <dcterms:modified xsi:type="dcterms:W3CDTF">2018-03-22T14:25:00Z</dcterms:modified>
  <cp:category>REX/497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14/03/2018, 01/03/2018, 25/01/2018, 17/01/2018, 17/01/2018, 29/11/2017, 29/11/2017, 04/11/2015, 27/10/2015, 19/10/2015, 09/10/2015, 05/10/2015, 05/10/2015, 26/08/2015, 26/08/2015, 25/08/2015</vt:lpwstr>
  </property>
  <property fmtid="{D5CDD505-2E9C-101B-9397-08002B2CF9AE}" pid="4" name="Pref_Time">
    <vt:lpwstr>14:30:45, 15:57:56, 16:12:08, 12:33:24, 11:43:17, 11:26:28, 11:06:39, 12:10:07, 14:44:02, 16:04:16, 14:09:30, 16:24:55, 16:04:02, 08:56:14, 07:27:56, 17:31:53</vt:lpwstr>
  </property>
  <property fmtid="{D5CDD505-2E9C-101B-9397-08002B2CF9AE}" pid="5" name="Pref_User">
    <vt:lpwstr>enied, enied, mkop, amett, htoo, amett, htoo, ssex, enied, amett, tvoc, mreg, mreg, amett, enied, ssex</vt:lpwstr>
  </property>
  <property fmtid="{D5CDD505-2E9C-101B-9397-08002B2CF9AE}" pid="6" name="Pref_FileName">
    <vt:lpwstr>EESC-2017-04948-00-00-PA-ORI.docx, EESC-2017-04948-00-02-APA-ORI.docx, EESC-2017-04948-00-01-APA-ORI.docx, EESC-2017-04948-00-00-APA-tra-EN.docx, EESC-2017-04948-00-00-APA-CRR-EN.docx, EESC-2017-04948-00-00-DT-TRA-EN-CRR.docx, EESC-2017-04948-00-00-DT-CRR</vt:lpwstr>
  </property>
  <property fmtid="{D5CDD505-2E9C-101B-9397-08002B2CF9AE}" pid="7" name="ContentTypeId">
    <vt:lpwstr>0x010100EA97B91038054C99906057A708A1480A00FC97235EC7FCE745BC5B366FF1DC5038</vt:lpwstr>
  </property>
  <property fmtid="{D5CDD505-2E9C-101B-9397-08002B2CF9AE}" pid="8" name="_dlc_DocIdItemGuid">
    <vt:lpwstr>e347c9f4-d0ca-4ec4-bdc3-5d9c9eca6a9f</vt:lpwstr>
  </property>
  <property fmtid="{D5CDD505-2E9C-101B-9397-08002B2CF9AE}" pid="9" name="DocumentType_0">
    <vt:lpwstr>PA|ef6fd07e-7d84-45ad-8a75-9a9414a8759c</vt:lpwstr>
  </property>
  <property fmtid="{D5CDD505-2E9C-101B-9397-08002B2CF9AE}" pid="10" name="AvailableTranslations">
    <vt:lpwstr>36;#BG|1a1b3951-7821-4e6a-85f5-5673fc08bd2c;#28;#ET|ff6c3f4c-b02c-4c3c-ab07-2c37995a7a0a;#31;#LT|a7ff5ce7-6123-4f68-865a-a57c31810414;#23;#DA|5d49c027-8956-412b-aa16-e85a0f96ad0e;#8;#FR|d2afafd3-4c81-4f60-8f52-ee33f2f54ff3;#25;#FI|87606a43-d45f-42d6-b8c9-</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4948</vt:i4>
  </property>
  <property fmtid="{D5CDD505-2E9C-101B-9397-08002B2CF9AE}" pid="15" name="DocumentVersion">
    <vt:i4>0</vt:i4>
  </property>
  <property fmtid="{D5CDD505-2E9C-101B-9397-08002B2CF9AE}" pid="16" name="DossierNumber">
    <vt:i4>497</vt:i4>
  </property>
  <property fmtid="{D5CDD505-2E9C-101B-9397-08002B2CF9AE}" pid="17" name="DocumentSource">
    <vt:lpwstr>1;#EESC|422833ec-8d7e-4e65-8e4e-8bed07ffb729</vt:lpwstr>
  </property>
  <property fmtid="{D5CDD505-2E9C-101B-9397-08002B2CF9AE}" pid="18" name="DocumentType">
    <vt:lpwstr>81;#PA|ef6fd07e-7d84-45ad-8a75-9a9414a8759c</vt:lpwstr>
  </property>
  <property fmtid="{D5CDD505-2E9C-101B-9397-08002B2CF9AE}" pid="19" name="DocumentStatus">
    <vt:lpwstr>2;#TRA|150d2a88-1431-44e6-a8ca-0bb753ab8672</vt:lpwstr>
  </property>
  <property fmtid="{D5CDD505-2E9C-101B-9397-08002B2CF9AE}" pid="20" name="DossierName">
    <vt:lpwstr>40;#REX|6820eaf5-116e-436b-ad9c-156f8a94c2a1</vt:lpwstr>
  </property>
  <property fmtid="{D5CDD505-2E9C-101B-9397-08002B2CF9AE}" pid="21" name="DocumentPart">
    <vt:i4>0</vt:i4>
  </property>
  <property fmtid="{D5CDD505-2E9C-101B-9397-08002B2CF9AE}" pid="22" name="RequestingService">
    <vt:lpwstr>Relations extérieures</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REX|c240c7b9-469b-4d95-ac60-67933f315822</vt:lpwstr>
  </property>
  <property fmtid="{D5CDD505-2E9C-101B-9397-08002B2CF9AE}" pid="26" name="OriginalLanguage">
    <vt:lpwstr>4;#EN|f2175f21-25d7-44a3-96da-d6a61b075e1b</vt:lpwstr>
  </property>
  <property fmtid="{D5CDD505-2E9C-101B-9397-08002B2CF9AE}" pid="27" name="MeetingName">
    <vt:lpwstr>111;#REX|c240c7b9-469b-4d95-ac60-67933f315822</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2018-03-28T12:00:00Z</vt:filetime>
  </property>
  <property fmtid="{D5CDD505-2E9C-101B-9397-08002B2CF9AE}" pid="31" name="TaxCatchAll">
    <vt:lpwstr>40;#REX|6820eaf5-116e-436b-ad9c-156f8a94c2a1;#37;#RO|feb747a2-64cd-4299-af12-4833ddc30497;#36;#BG|1a1b3951-7821-4e6a-85f5-5673fc08bd2c;#35;#SL|98a412ae-eb01-49e9-ae3d-585a81724cfc;#81;#PA|ef6fd07e-7d84-45ad-8a75-9a9414a8759c;#33;#PL|1e03da61-4678-4e07-b13</vt:lpwstr>
  </property>
  <property fmtid="{D5CDD505-2E9C-101B-9397-08002B2CF9AE}" pid="32" name="AvailableTranslations_0">
    <vt:lpwstr>BG|1a1b3951-7821-4e6a-85f5-5673fc08bd2c;LT|a7ff5ce7-6123-4f68-865a-a57c31810414;DA|5d49c027-8956-412b-aa16-e85a0f96ad0e;FR|d2afafd3-4c81-4f60-8f52-ee33f2f54ff3;FI|87606a43-d45f-42d6-b8c9-e1a3457db5b7;EN|f2175f21-25d7-44a3-96da-d6a61b075e1b;HU|6b229040-c58</vt:lpwstr>
  </property>
  <property fmtid="{D5CDD505-2E9C-101B-9397-08002B2CF9AE}" pid="33" name="VersionStatus">
    <vt:lpwstr>6;#Final|ea5e6674-7b27-4bac-b091-73adbb394efe</vt:lpwstr>
  </property>
  <property fmtid="{D5CDD505-2E9C-101B-9397-08002B2CF9AE}" pid="34" name="Rapporteur">
    <vt:lpwstr>DIMITRIADIS &amp; ZORKO</vt:lpwstr>
  </property>
  <property fmtid="{D5CDD505-2E9C-101B-9397-08002B2CF9AE}" pid="35" name="VersionStatus_0">
    <vt:lpwstr>Final|ea5e6674-7b27-4bac-b091-73adbb394efe</vt:lpwstr>
  </property>
  <property fmtid="{D5CDD505-2E9C-101B-9397-08002B2CF9AE}" pid="36" name="FicheNumber">
    <vt:i4>3334</vt:i4>
  </property>
  <property fmtid="{D5CDD505-2E9C-101B-9397-08002B2CF9AE}" pid="37" name="DocumentYear">
    <vt:i4>2017</vt:i4>
  </property>
  <property fmtid="{D5CDD505-2E9C-101B-9397-08002B2CF9AE}" pid="38" name="DocumentLanguage">
    <vt:lpwstr>34;#SK|46d9fce0-ef79-4f71-b89b-cd6aa82426b8</vt:lpwstr>
  </property>
</Properties>
</file>