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EE1" w:rsidRDefault="00AB48A9">
      <w:pPr>
        <w:pStyle w:val="Pagedecouverture"/>
        <w:rPr>
          <w:noProof/>
        </w:rPr>
      </w:pPr>
      <w:r>
        <w:rPr>
          <w:noProof/>
        </w:rPr>
        <w:drawing>
          <wp:inline distT="0" distB="0" distL="0" distR="0">
            <wp:extent cx="5721350" cy="4648200"/>
            <wp:effectExtent l="0" t="0" r="0" b="0"/>
            <wp:docPr id="1" name="Obrázok 1" descr="ECD2AB67347B46BC9D7B092F3B77AE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D2AB67347B46BC9D7B092F3B77AE9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21350" cy="4648200"/>
                    </a:xfrm>
                    <a:prstGeom prst="rect">
                      <a:avLst/>
                    </a:prstGeom>
                    <a:noFill/>
                    <a:ln>
                      <a:noFill/>
                    </a:ln>
                  </pic:spPr>
                </pic:pic>
              </a:graphicData>
            </a:graphic>
          </wp:inline>
        </w:drawing>
      </w:r>
    </w:p>
    <w:p w:rsidR="00B90EE1" w:rsidRDefault="00B90EE1">
      <w:pPr>
        <w:rPr>
          <w:noProof/>
        </w:rPr>
        <w:sectPr w:rsidR="00B90EE1">
          <w:footerReference w:type="default" r:id="rId13"/>
          <w:pgSz w:w="11907" w:h="16839"/>
          <w:pgMar w:top="1134" w:right="1417" w:bottom="1134" w:left="1417" w:header="709" w:footer="709" w:gutter="0"/>
          <w:pgNumType w:start="1"/>
          <w:cols w:space="720"/>
          <w:docGrid w:linePitch="360"/>
        </w:sectPr>
      </w:pPr>
    </w:p>
    <w:p w:rsidR="00B90EE1" w:rsidRDefault="003A231F">
      <w:pPr>
        <w:pStyle w:val="Exposdesmotifstitre"/>
        <w:rPr>
          <w:noProof/>
        </w:rPr>
      </w:pPr>
      <w:r>
        <w:rPr>
          <w:noProof/>
        </w:rPr>
        <w:lastRenderedPageBreak/>
        <w:t>DÔVODOVÁ SPRÁVA</w:t>
      </w:r>
    </w:p>
    <w:p w:rsidR="00B90EE1" w:rsidRDefault="003A231F">
      <w:pPr>
        <w:pStyle w:val="ManualHeading1"/>
        <w:rPr>
          <w:noProof/>
        </w:rPr>
      </w:pPr>
      <w:r>
        <w:rPr>
          <w:noProof/>
        </w:rPr>
        <w:t>1.</w:t>
      </w:r>
      <w:r>
        <w:rPr>
          <w:noProof/>
        </w:rPr>
        <w:tab/>
        <w:t>KONTEXT NÁVRHU</w:t>
      </w:r>
    </w:p>
    <w:p w:rsidR="00B90EE1" w:rsidRDefault="003A231F">
      <w:pPr>
        <w:pStyle w:val="ManualHeading2"/>
        <w:spacing w:before="0" w:after="240"/>
        <w:ind w:left="851" w:hanging="851"/>
        <w:rPr>
          <w:rFonts w:eastAsia="Arial Unicode MS"/>
          <w:noProof/>
        </w:rPr>
      </w:pPr>
      <w:r>
        <w:rPr>
          <w:noProof/>
          <w:color w:val="000000"/>
          <w:u w:color="000000"/>
          <w:bdr w:val="nil"/>
        </w:rPr>
        <w:t>•</w:t>
      </w:r>
      <w:r>
        <w:rPr>
          <w:noProof/>
        </w:rPr>
        <w:tab/>
        <w:t>Dôvody a ciele návrhu</w:t>
      </w:r>
    </w:p>
    <w:p w:rsidR="00B90EE1" w:rsidRDefault="003A231F">
      <w:pPr>
        <w:pBdr>
          <w:top w:val="nil"/>
          <w:left w:val="nil"/>
          <w:bottom w:val="nil"/>
          <w:right w:val="nil"/>
          <w:between w:val="nil"/>
          <w:bar w:val="nil"/>
        </w:pBdr>
        <w:spacing w:before="0" w:after="240"/>
        <w:rPr>
          <w:noProof/>
        </w:rPr>
      </w:pPr>
      <w:r>
        <w:rPr>
          <w:noProof/>
        </w:rPr>
        <w:t xml:space="preserve">Priame zahraničné investície mali ako </w:t>
      </w:r>
      <w:r>
        <w:rPr>
          <w:noProof/>
        </w:rPr>
        <w:t>dôležitý zdroj rastu, pracovných miest a inovácie vždy veľký význam pre hospodársky a sociálny rozvoj Európskej únie. Sú veľmi prínosné pre Úniu a jej občanov, pretože pomáhajú dosiahnuť ciele Investičného plánu Komisie pre Európu a podieľajú sa na iných p</w:t>
      </w:r>
      <w:r>
        <w:rPr>
          <w:noProof/>
        </w:rPr>
        <w:t>rojektoch a programoch Únie. EÚ si preto udržiava otvorené investičné prostredie a je ústretová k zahraničným investíciám.</w:t>
      </w:r>
    </w:p>
    <w:p w:rsidR="00B90EE1" w:rsidRDefault="003A231F">
      <w:pPr>
        <w:pBdr>
          <w:top w:val="nil"/>
          <w:left w:val="nil"/>
          <w:bottom w:val="nil"/>
          <w:right w:val="nil"/>
          <w:between w:val="nil"/>
          <w:bar w:val="nil"/>
        </w:pBdr>
        <w:spacing w:before="0" w:after="240"/>
        <w:rPr>
          <w:rFonts w:eastAsia="Arial Unicode MS"/>
          <w:noProof/>
        </w:rPr>
      </w:pPr>
      <w:r>
        <w:rPr>
          <w:noProof/>
        </w:rPr>
        <w:t>V nedávnom Diskusnom dokumente o využívaní globalizácie vydanom 10. mája 2017 Komisia potvrdila, že „</w:t>
      </w:r>
      <w:r>
        <w:rPr>
          <w:i/>
          <w:noProof/>
        </w:rPr>
        <w:t>otvorenosť zahraničným investíci</w:t>
      </w:r>
      <w:r>
        <w:rPr>
          <w:i/>
          <w:noProof/>
        </w:rPr>
        <w:t>ám je naďalej kľúčovou zásadou EÚ a významným zdrojom rastu</w:t>
      </w:r>
      <w:r>
        <w:rPr>
          <w:noProof/>
        </w:rPr>
        <w:t>“, súčasne však uznala, že sa vynárajú určité „</w:t>
      </w:r>
      <w:r>
        <w:rPr>
          <w:i/>
          <w:noProof/>
        </w:rPr>
        <w:t>obavy v súvislosti so zahraničnými investormi, najmä štátnymi podnikmi, ktoré zo strategických dôvodov preberajú európske podniky s kľúčovými technoló</w:t>
      </w:r>
      <w:r>
        <w:rPr>
          <w:i/>
          <w:noProof/>
        </w:rPr>
        <w:t>giami</w:t>
      </w:r>
      <w:r>
        <w:rPr>
          <w:noProof/>
        </w:rPr>
        <w:t>“, a takisto že „</w:t>
      </w:r>
      <w:r>
        <w:rPr>
          <w:i/>
          <w:noProof/>
        </w:rPr>
        <w:t>investori z EÚ často nemajú rovnaké práva investovať v krajine, z ktorej investície pochádzajú</w:t>
      </w:r>
      <w:r>
        <w:rPr>
          <w:noProof/>
        </w:rPr>
        <w:t>“.</w:t>
      </w:r>
      <w:r>
        <w:rPr>
          <w:i/>
          <w:noProof/>
        </w:rPr>
        <w:t xml:space="preserve"> </w:t>
      </w:r>
      <w:r>
        <w:rPr>
          <w:noProof/>
        </w:rPr>
        <w:t>Komisia potvrdila, že „</w:t>
      </w:r>
      <w:r>
        <w:rPr>
          <w:i/>
          <w:noProof/>
        </w:rPr>
        <w:t>tieto obavy je potrebné starostlivo analyzovať a primerane riešiť</w:t>
      </w:r>
      <w:r>
        <w:rPr>
          <w:noProof/>
        </w:rPr>
        <w:t>“.</w:t>
      </w:r>
    </w:p>
    <w:p w:rsidR="00B90EE1" w:rsidRDefault="003A231F">
      <w:pPr>
        <w:pBdr>
          <w:top w:val="nil"/>
          <w:left w:val="nil"/>
          <w:bottom w:val="nil"/>
          <w:right w:val="nil"/>
          <w:between w:val="nil"/>
          <w:bar w:val="nil"/>
        </w:pBdr>
        <w:spacing w:before="0" w:after="240"/>
        <w:rPr>
          <w:noProof/>
        </w:rPr>
      </w:pPr>
      <w:r>
        <w:rPr>
          <w:noProof/>
        </w:rPr>
        <w:t>Otvorenosť Únie priamym zahraničným investíciá</w:t>
      </w:r>
      <w:r>
        <w:rPr>
          <w:noProof/>
        </w:rPr>
        <w:t>m sa nezmení, musia ju však sprevádzať rázne a účinné politiky, ktorých cieľom bude na jednej strane dosiahnuť otvorenosť iných hospodárstiev a zabezpečiť rovnaké pravidlá pre všetkých a na druhej strane chrániť kľúčové európske aktíva pred investíciami, k</w:t>
      </w:r>
      <w:r>
        <w:rPr>
          <w:noProof/>
        </w:rPr>
        <w:t>toré by poškodzovali oprávnené záujmy Únie alebo jej členských štátov. V sprievodnom oznámení k tomuto návrhu Komisia uvádza obsiahly prehľad politických reakcií na výzvy, ktoré globalizácia nastoľuje v oblasti priamych zahraničných investícií. Tento návrh</w:t>
      </w:r>
      <w:r>
        <w:rPr>
          <w:noProof/>
        </w:rPr>
        <w:t xml:space="preserve"> predstavuje politickú reakciu, ktorej cieľom je chrániť oprávnené záujmy, pokiaľ ide o priame zahraničné investície vzbudzujúce obavy z hľadiska bezpečnosti alebo verejného poriadku Únie alebo jej členských štátov.</w:t>
      </w:r>
    </w:p>
    <w:p w:rsidR="00B90EE1" w:rsidRDefault="003A231F">
      <w:pPr>
        <w:pBdr>
          <w:top w:val="nil"/>
          <w:left w:val="nil"/>
          <w:bottom w:val="nil"/>
          <w:right w:val="nil"/>
          <w:between w:val="nil"/>
          <w:bar w:val="nil"/>
        </w:pBdr>
        <w:spacing w:before="0" w:after="240"/>
        <w:rPr>
          <w:noProof/>
        </w:rPr>
      </w:pPr>
      <w:bookmarkStart w:id="0" w:name="_GoBack"/>
      <w:r>
        <w:rPr>
          <w:noProof/>
        </w:rPr>
        <w:t>Cieľom tohto návrhu nariadenia je stanov</w:t>
      </w:r>
      <w:r>
        <w:rPr>
          <w:noProof/>
        </w:rPr>
        <w:t>iť pre členské štáty a v určitých prípadoch aj pre Komisiu rámec na preverovanie priamych zahraničných investícií smerujúcich do Európskej únie, pričom členským štátom sa umožní zohľadňovať ich individuálnu situáciu a vnútroštátne okolnosti.</w:t>
      </w:r>
    </w:p>
    <w:bookmarkEnd w:id="0"/>
    <w:p w:rsidR="00B90EE1" w:rsidRDefault="003A231F">
      <w:pPr>
        <w:pBdr>
          <w:top w:val="nil"/>
          <w:left w:val="nil"/>
          <w:bottom w:val="nil"/>
          <w:right w:val="nil"/>
          <w:between w:val="nil"/>
          <w:bar w:val="nil"/>
        </w:pBdr>
        <w:spacing w:before="0" w:after="240"/>
        <w:rPr>
          <w:noProof/>
        </w:rPr>
      </w:pPr>
      <w:r>
        <w:rPr>
          <w:noProof/>
        </w:rPr>
        <w:t>Navrhované nar</w:t>
      </w:r>
      <w:r>
        <w:rPr>
          <w:noProof/>
        </w:rPr>
        <w:t>iadenie poskytuje členským štátom, ktoré majú zavedený mechanizmus preverovania</w:t>
      </w:r>
      <w:r>
        <w:rPr>
          <w:rStyle w:val="Odkaznapoznmkupodiarou"/>
          <w:noProof/>
        </w:rPr>
        <w:footnoteReference w:id="1"/>
      </w:r>
      <w:r>
        <w:rPr>
          <w:noProof/>
        </w:rPr>
        <w:t xml:space="preserve"> priamych zahraničných investícií alebo ktoré si prajú prijať takýto mechanizmus, právnu istotu so zreteľom na výlučnú právomoc Únie v oblasti spoločnej obchodnej politiky, kto</w:t>
      </w:r>
      <w:r>
        <w:rPr>
          <w:noProof/>
        </w:rPr>
        <w:t>rá zahŕňa aj priame zahraničné investície, podľa článku 3 ods. 1 písm. e) a článku 207 ods. 1 Zmluvy o fungovaní Európskej únie (ďalej len „ZFEÚ“).</w:t>
      </w:r>
    </w:p>
    <w:p w:rsidR="00B90EE1" w:rsidRDefault="003A231F">
      <w:pPr>
        <w:pBdr>
          <w:top w:val="nil"/>
          <w:left w:val="nil"/>
          <w:bottom w:val="nil"/>
          <w:right w:val="nil"/>
          <w:between w:val="nil"/>
          <w:bar w:val="nil"/>
        </w:pBdr>
        <w:spacing w:before="0" w:after="240"/>
        <w:rPr>
          <w:rFonts w:eastAsia="Arial Unicode MS"/>
          <w:noProof/>
        </w:rPr>
      </w:pPr>
      <w:r>
        <w:rPr>
          <w:noProof/>
        </w:rPr>
        <w:t>Navrhovaný podporný rámec zohľadňuje existujúce rozdiely v prístupoch medzi členskými štátmi, pokiaľ ide o preverovanie priamych zahraničných investícií. Mechanizmy preverovania sú k dnešnému dňu zavedené takmer v polovici členských štátov. Ostatné členské</w:t>
      </w:r>
      <w:r>
        <w:rPr>
          <w:noProof/>
        </w:rPr>
        <w:t xml:space="preserve"> štáty naopak takéto mechanizmy nemajú. Pre existujúce mechanizmy preverovania sú navyše príznačné rozdiely v rozsahu pôsobnosti a postupe: </w:t>
      </w:r>
      <w:r>
        <w:rPr>
          <w:i/>
          <w:noProof/>
        </w:rPr>
        <w:t>ex-ante</w:t>
      </w:r>
      <w:r>
        <w:rPr>
          <w:noProof/>
        </w:rPr>
        <w:t>/</w:t>
      </w:r>
      <w:r>
        <w:rPr>
          <w:i/>
          <w:noProof/>
        </w:rPr>
        <w:t>ex-post</w:t>
      </w:r>
      <w:r>
        <w:rPr>
          <w:noProof/>
        </w:rPr>
        <w:t xml:space="preserve">; dobrovoľné/povinné oznamovanie; </w:t>
      </w:r>
      <w:r>
        <w:rPr>
          <w:noProof/>
        </w:rPr>
        <w:lastRenderedPageBreak/>
        <w:t>pokrytie všetkých/jednotlivých sektorov; podniky/aktíva; uplatňovan</w:t>
      </w:r>
      <w:r>
        <w:rPr>
          <w:noProof/>
        </w:rPr>
        <w:t>ie na investície z iných členských štátov a z tretích krajín alebo len z tretích krajín atď.</w:t>
      </w:r>
      <w:r>
        <w:rPr>
          <w:rStyle w:val="Odkaznapoznmkupodiarou"/>
          <w:noProof/>
        </w:rPr>
        <w:t xml:space="preserve"> </w:t>
      </w:r>
      <w:r>
        <w:rPr>
          <w:rStyle w:val="Odkaznapoznmkupodiarou"/>
          <w:noProof/>
        </w:rPr>
        <w:footnoteReference w:id="2"/>
      </w:r>
    </w:p>
    <w:p w:rsidR="00B90EE1" w:rsidRDefault="003A231F">
      <w:pPr>
        <w:pBdr>
          <w:top w:val="nil"/>
          <w:left w:val="nil"/>
          <w:bottom w:val="nil"/>
          <w:right w:val="nil"/>
          <w:between w:val="nil"/>
          <w:bar w:val="nil"/>
        </w:pBdr>
        <w:spacing w:before="0" w:after="240"/>
        <w:rPr>
          <w:rFonts w:eastAsia="Arial Unicode MS"/>
          <w:noProof/>
        </w:rPr>
      </w:pPr>
      <w:r>
        <w:rPr>
          <w:noProof/>
        </w:rPr>
        <w:t xml:space="preserve">V navrhovanom nariadení sa nepožaduje, aby členské štáty prijali alebo si zachovali mechanizmus preverovania priamych zahraničných investícií. Cieľom nariadenia </w:t>
      </w:r>
      <w:r>
        <w:rPr>
          <w:noProof/>
        </w:rPr>
        <w:t>je vytvoriť podporný rámec pre členské štáty, ktoré už majú zavedený alebo si prajú zaviesť mechanizmus preverovania, a zabezpečiť, aby každý takýto prípadný mechanizmus preverovania spĺňal určité základné požiadavky, ako napríklad možnosť súdnej nápravy r</w:t>
      </w:r>
      <w:r>
        <w:rPr>
          <w:noProof/>
        </w:rPr>
        <w:t>ozhodnutí, nediskriminačný prístup k jednotlivým tretím krajinám a transparentnosť.</w:t>
      </w:r>
    </w:p>
    <w:p w:rsidR="00B90EE1" w:rsidRDefault="003A231F">
      <w:pPr>
        <w:pBdr>
          <w:top w:val="nil"/>
          <w:left w:val="nil"/>
          <w:bottom w:val="nil"/>
          <w:right w:val="nil"/>
          <w:between w:val="nil"/>
          <w:bar w:val="nil"/>
        </w:pBdr>
        <w:spacing w:before="0" w:after="240"/>
        <w:rPr>
          <w:rFonts w:eastAsia="Arial Unicode MS"/>
          <w:noProof/>
        </w:rPr>
      </w:pPr>
      <w:r>
        <w:rPr>
          <w:noProof/>
        </w:rPr>
        <w:t>Jeho ďalším cieľom je zriadiť mechanizmus spolupráce medzi členskými štátmi a Komisiou, aby sa mohli navzájom informovať o priamej zahraničnej investícii, ktorá môže predst</w:t>
      </w:r>
      <w:r>
        <w:rPr>
          <w:noProof/>
        </w:rPr>
        <w:t>avovať hrozbu pre bezpečnosť alebo verejný poriadok, a aby si mohli v tejto súvislosti vymieňať informácie. Tento mechanizmus spolupráce by mal takisto umožňovať dôkladnú diskusiu medzi členskými štátmi a Komisiou a lepšiu koordináciu prípadného rozhodnuti</w:t>
      </w:r>
      <w:r>
        <w:rPr>
          <w:noProof/>
        </w:rPr>
        <w:t>a o preverení, ktoré prijme dotknutý členský štát, resp. dotknuté členské štáty. Mechanizmus spolupráce by mal navyše umožňovať, aby boli členské štáty a Komisia lepšie informovaní o plánovaných alebo zrealizovaných priamych zahraničných investíciách, ktor</w:t>
      </w:r>
      <w:r>
        <w:rPr>
          <w:noProof/>
        </w:rPr>
        <w:t>é môžu mať vplyv na bezpečnosť alebo verejný poriadok.</w:t>
      </w:r>
    </w:p>
    <w:p w:rsidR="00B90EE1" w:rsidRDefault="003A231F">
      <w:pPr>
        <w:pBdr>
          <w:top w:val="nil"/>
          <w:left w:val="nil"/>
          <w:bottom w:val="nil"/>
          <w:right w:val="nil"/>
          <w:between w:val="nil"/>
          <w:bar w:val="nil"/>
        </w:pBdr>
        <w:spacing w:before="0" w:after="240"/>
        <w:rPr>
          <w:noProof/>
        </w:rPr>
      </w:pPr>
      <w:r>
        <w:rPr>
          <w:noProof/>
        </w:rPr>
        <w:t>V navrhovanom nariadení sa zároveň stanovuje, že Komisia môže pristúpiť k preverovaniu z hľadiska bezpečnosti a verejného poriadku v prípade, keď priama zahraničná investícia môže mať vplyv na projekty</w:t>
      </w:r>
      <w:r>
        <w:rPr>
          <w:noProof/>
        </w:rPr>
        <w:t xml:space="preserve"> alebo programy v záujme Únie. V navrhovanom nariadení sa preto stanovuje doplnkový nástroj na ochranu takýchto projektov a programov popri existujúcich právnych predpisoch Únie pre jednotlivé odvetvia.</w:t>
      </w:r>
    </w:p>
    <w:p w:rsidR="00B90EE1" w:rsidRDefault="003A231F">
      <w:pPr>
        <w:pBdr>
          <w:top w:val="nil"/>
          <w:left w:val="nil"/>
          <w:bottom w:val="nil"/>
          <w:right w:val="nil"/>
          <w:between w:val="nil"/>
          <w:bar w:val="nil"/>
        </w:pBdr>
        <w:spacing w:before="0" w:after="240"/>
        <w:rPr>
          <w:noProof/>
        </w:rPr>
      </w:pPr>
      <w:r>
        <w:rPr>
          <w:noProof/>
        </w:rPr>
        <w:t>V navrhovanom nariadení sa požaduje, aby členské štát</w:t>
      </w:r>
      <w:r>
        <w:rPr>
          <w:noProof/>
        </w:rPr>
        <w:t>y informovali iné členské štáty a Komisiu o každej priamej zahraničnej investícii, ktorá je podrobená preverovaniu v rámci ich vnútroštátneho mechanizmu preverovania, a to v záujme dosiahnutia zamýšľanej spolupráce medzi členskými štátmi a Komisiou a s cie</w:t>
      </w:r>
      <w:r>
        <w:rPr>
          <w:noProof/>
        </w:rPr>
        <w:t xml:space="preserve">ľom umožniť zmysluplné preverovanie buď iným dotknutým členským štátom alebo Komisiou, ak môžu byť ovplyvnené projekty alebo programy v záujme Únie. Navrhované mechanizmy spolupráce umožnia, aby členský štát vyjadril obavy k priamej zahraničnej investícii </w:t>
      </w:r>
      <w:r>
        <w:rPr>
          <w:noProof/>
        </w:rPr>
        <w:t>v inom členskom štáte a uviedol pripomienky. Komisia môže takisto vydať nezáväzné stanovisko k takejto priamej zahraničnej investícii. V neposlednom rade sa navrhuje, aby členské štáty a Komisia mohli v jednotlivých prípadoch požiadať o určité základné inf</w:t>
      </w:r>
      <w:r>
        <w:rPr>
          <w:noProof/>
        </w:rPr>
        <w:t>ormácie týkajúce sa konkrétnej priamej zahraničnej investície, aby mohli detailnejšie posúdiť, či takáto investícia vplýva na bezpečnosť alebo verejný poriadok alebo či hrozí, že na ne bude mať vplyv.</w:t>
      </w:r>
    </w:p>
    <w:p w:rsidR="00B90EE1" w:rsidRDefault="003A231F">
      <w:pPr>
        <w:pBdr>
          <w:top w:val="nil"/>
          <w:left w:val="nil"/>
          <w:bottom w:val="nil"/>
          <w:right w:val="nil"/>
          <w:between w:val="nil"/>
          <w:bar w:val="nil"/>
        </w:pBdr>
        <w:spacing w:before="0" w:after="240"/>
        <w:rPr>
          <w:rFonts w:eastAsia="Arial Unicode MS"/>
          <w:noProof/>
        </w:rPr>
      </w:pPr>
      <w:r>
        <w:rPr>
          <w:noProof/>
        </w:rPr>
        <w:t>Tento návrh sa nepovažuje za iniciatívu v rámci program</w:t>
      </w:r>
      <w:r>
        <w:rPr>
          <w:noProof/>
        </w:rPr>
        <w:t>u regulačnej vhodnosti (REFIT).</w:t>
      </w:r>
    </w:p>
    <w:p w:rsidR="00B90EE1" w:rsidRDefault="003A231F">
      <w:pPr>
        <w:pStyle w:val="ManualHeading2"/>
        <w:rPr>
          <w:rFonts w:eastAsia="Arial Unicode MS"/>
          <w:noProof/>
          <w:color w:val="000000"/>
          <w:u w:color="000000"/>
          <w:bdr w:val="nil"/>
        </w:rPr>
      </w:pPr>
      <w:r>
        <w:rPr>
          <w:noProof/>
          <w:color w:val="000000"/>
          <w:u w:color="000000"/>
          <w:bdr w:val="nil"/>
        </w:rPr>
        <w:t>•</w:t>
      </w:r>
      <w:r>
        <w:rPr>
          <w:noProof/>
        </w:rPr>
        <w:tab/>
        <w:t>Súlad s existujúcimi ustanoveniami v tejto oblasti politiky</w:t>
      </w:r>
    </w:p>
    <w:p w:rsidR="00B90EE1" w:rsidRDefault="003A231F">
      <w:pPr>
        <w:pBdr>
          <w:top w:val="nil"/>
          <w:left w:val="nil"/>
          <w:bottom w:val="nil"/>
          <w:right w:val="nil"/>
          <w:between w:val="nil"/>
          <w:bar w:val="nil"/>
        </w:pBdr>
        <w:spacing w:before="0" w:after="240"/>
        <w:rPr>
          <w:rFonts w:eastAsia="Arial Unicode MS"/>
          <w:noProof/>
        </w:rPr>
      </w:pPr>
      <w:r>
        <w:rPr>
          <w:noProof/>
        </w:rPr>
        <w:t xml:space="preserve">Cieľom návrhu je napomôcť dosiahnutie celkových cieľov politiky Únie, ako sa ustanovuje v článku 3 Zmluvy o Európskej únii, predovšetkým pokiaľ ide o jej vzťahy </w:t>
      </w:r>
      <w:r>
        <w:rPr>
          <w:noProof/>
        </w:rPr>
        <w:t>so zvyškom sveta v snahe presadiť hodnoty a záujmy Únie a prispieť k ochrane jej občanov, mieru, bezpečnosti a k voľnému a spravodlivému obchodu.</w:t>
      </w:r>
    </w:p>
    <w:p w:rsidR="00B90EE1" w:rsidRDefault="003A231F">
      <w:pPr>
        <w:pBdr>
          <w:top w:val="nil"/>
          <w:left w:val="nil"/>
          <w:bottom w:val="nil"/>
          <w:right w:val="nil"/>
          <w:between w:val="nil"/>
          <w:bar w:val="nil"/>
        </w:pBdr>
        <w:spacing w:before="0" w:after="240"/>
        <w:rPr>
          <w:noProof/>
        </w:rPr>
      </w:pPr>
      <w:r>
        <w:rPr>
          <w:noProof/>
        </w:rPr>
        <w:lastRenderedPageBreak/>
        <w:t>Návrh je plne v súlade s oznámením „Obchod pre všetkých“</w:t>
      </w:r>
      <w:r>
        <w:rPr>
          <w:rStyle w:val="Odkaznapoznmkupodiarou"/>
          <w:noProof/>
        </w:rPr>
        <w:footnoteReference w:id="3"/>
      </w:r>
      <w:r>
        <w:rPr>
          <w:noProof/>
        </w:rPr>
        <w:t xml:space="preserve"> z roku 2015 v snahe vytvoriť režim založený na pravi</w:t>
      </w:r>
      <w:r>
        <w:rPr>
          <w:noProof/>
        </w:rPr>
        <w:t>dlách nielen pre investície, ako aj s „Diskusným dokumentom Komisie o využívaní globalizácie“ vydaným 10. mája 2017.</w:t>
      </w:r>
    </w:p>
    <w:p w:rsidR="00B90EE1" w:rsidRDefault="003A231F">
      <w:pPr>
        <w:pBdr>
          <w:top w:val="nil"/>
          <w:left w:val="nil"/>
          <w:bottom w:val="nil"/>
          <w:right w:val="nil"/>
          <w:between w:val="nil"/>
          <w:bar w:val="nil"/>
        </w:pBdr>
        <w:spacing w:before="0" w:after="240"/>
        <w:rPr>
          <w:rFonts w:eastAsia="Arial Unicode MS"/>
          <w:noProof/>
        </w:rPr>
      </w:pPr>
      <w:r>
        <w:rPr>
          <w:noProof/>
        </w:rPr>
        <w:t>V navrhovanom nariadení sa predostiera primeraný kompromis medzi cieľom riešiť opodstatnené obavy vzniknuté v súvislosti s určitými priamym</w:t>
      </w:r>
      <w:r>
        <w:rPr>
          <w:noProof/>
        </w:rPr>
        <w:t>i zahraničnými investíciami na jednej strane a potrebou zachovať otvorený a ústretový režim pre takéto investície do Únie na druhej strane. Nariadenie je zároveň plne zlučiteľné s právom Únie a medzinárodnými záväzkami. K tomuto návrhu je pripojené oznámen</w:t>
      </w:r>
      <w:r>
        <w:rPr>
          <w:noProof/>
        </w:rPr>
        <w:t>ie, v ktorom sa preň uvádza širší kontext.</w:t>
      </w:r>
    </w:p>
    <w:p w:rsidR="00B90EE1" w:rsidRDefault="003A231F">
      <w:pPr>
        <w:pStyle w:val="ManualHeading2"/>
        <w:rPr>
          <w:rFonts w:eastAsia="Arial Unicode MS"/>
          <w:noProof/>
        </w:rPr>
      </w:pPr>
      <w:r>
        <w:rPr>
          <w:noProof/>
          <w:color w:val="000000"/>
          <w:u w:color="000000"/>
          <w:bdr w:val="nil"/>
        </w:rPr>
        <w:t>•</w:t>
      </w:r>
      <w:r>
        <w:rPr>
          <w:noProof/>
        </w:rPr>
        <w:tab/>
        <w:t>Súlad s ostatnými politikami Únie</w:t>
      </w:r>
    </w:p>
    <w:p w:rsidR="00B90EE1" w:rsidRDefault="003A231F">
      <w:pPr>
        <w:pBdr>
          <w:top w:val="nil"/>
          <w:left w:val="nil"/>
          <w:bottom w:val="nil"/>
          <w:right w:val="nil"/>
          <w:between w:val="nil"/>
          <w:bar w:val="nil"/>
        </w:pBdr>
        <w:spacing w:before="0" w:after="240"/>
        <w:rPr>
          <w:noProof/>
        </w:rPr>
      </w:pPr>
      <w:r>
        <w:rPr>
          <w:noProof/>
        </w:rPr>
        <w:t>Navrhované nariadenie bude dopĺňať iné politiky a iniciatívy Únie, je s nimi v súlade a neovplyvňuje ich. Ide najmä o tieto politiky a iniciatívy:</w:t>
      </w:r>
    </w:p>
    <w:p w:rsidR="00B90EE1" w:rsidRDefault="003A231F">
      <w:pPr>
        <w:pBdr>
          <w:top w:val="nil"/>
          <w:left w:val="nil"/>
          <w:bottom w:val="nil"/>
          <w:right w:val="nil"/>
          <w:between w:val="nil"/>
          <w:bar w:val="nil"/>
        </w:pBdr>
        <w:spacing w:before="0" w:after="240"/>
        <w:rPr>
          <w:noProof/>
          <w:u w:val="single"/>
        </w:rPr>
      </w:pPr>
      <w:r>
        <w:rPr>
          <w:noProof/>
          <w:u w:val="single"/>
        </w:rPr>
        <w:t>Voľný pohyb kapitálu a sloboda</w:t>
      </w:r>
      <w:r>
        <w:rPr>
          <w:noProof/>
          <w:u w:val="single"/>
        </w:rPr>
        <w:t xml:space="preserve"> usadiť sa</w:t>
      </w:r>
    </w:p>
    <w:p w:rsidR="00B90EE1" w:rsidRDefault="003A231F">
      <w:pPr>
        <w:rPr>
          <w:rStyle w:val="None"/>
          <w:noProof/>
          <w:u w:color="FF0000"/>
        </w:rPr>
      </w:pPr>
      <w:r>
        <w:rPr>
          <w:noProof/>
        </w:rPr>
        <w:t>Priama zahraničná investícia predstavuje pohyb kapitálu v zmysle článku 63 ZFEÚ. V </w:t>
      </w:r>
      <w:r>
        <w:rPr>
          <w:rStyle w:val="None"/>
          <w:noProof/>
          <w:u w:color="FF0000"/>
        </w:rPr>
        <w:t>článku 63 ZFEÚ sa zakazujú všetky obmedzenia pohybu kapitálu medzi členskými štátmi navzájom a medzi členskými štátmi a tretími krajinami. Mechanizmy preverovania</w:t>
      </w:r>
      <w:r>
        <w:rPr>
          <w:rStyle w:val="None"/>
          <w:noProof/>
          <w:u w:color="FF0000"/>
        </w:rPr>
        <w:t xml:space="preserve"> investícií môžu predstavovať obmedzenie voľného pohybu kapitálu, ktoré však môže byť napriek tomu opodstatnené a primerané z hľadiska dosiahnutia cieľov vymedzených v zmluve, ako aj z dôvodu verejnej bezpečnosti a verejného poriadku (článok 65 ZFEÚ) alebo</w:t>
      </w:r>
      <w:r>
        <w:rPr>
          <w:rStyle w:val="None"/>
          <w:noProof/>
          <w:u w:color="FF0000"/>
        </w:rPr>
        <w:t xml:space="preserve"> zo závažných dôvodov verejného záujmu, ako stanovil Súdny dvor Európskej únie.</w:t>
      </w:r>
    </w:p>
    <w:p w:rsidR="00B90EE1" w:rsidRDefault="003A231F">
      <w:pPr>
        <w:rPr>
          <w:noProof/>
        </w:rPr>
      </w:pPr>
      <w:r>
        <w:rPr>
          <w:noProof/>
        </w:rPr>
        <w:t>Ako sa ozrejmilo v judikatúre Súdneho dvora, keďže členské štáty majú priestor na voľnú úvahu pri určovaní požiadaviek verejného poriadku a verejnej bezpečnosti podľa svojich v</w:t>
      </w:r>
      <w:r>
        <w:rPr>
          <w:noProof/>
        </w:rPr>
        <w:t>nútroštátnych potrieb</w:t>
      </w:r>
      <w:r>
        <w:rPr>
          <w:rStyle w:val="Odkaznapoznmkupodiarou"/>
          <w:noProof/>
        </w:rPr>
        <w:footnoteReference w:id="4"/>
      </w:r>
      <w:r>
        <w:rPr>
          <w:noProof/>
        </w:rPr>
        <w:t>, uvedené verejné záujmy nemôžu jednostranne určovať členské štáty bez akejkoľvek kontroly zo strany inštitúcií EÚ a musia sa vykladať striktne: možno sa na ne odvolávať, len ak existuje skutočné a dostatočne závažné ohrozenie základn</w:t>
      </w:r>
      <w:r>
        <w:rPr>
          <w:noProof/>
        </w:rPr>
        <w:t>ého záujmu spoločnosti</w:t>
      </w:r>
      <w:r>
        <w:rPr>
          <w:rStyle w:val="Odkaznapoznmkupodiarou"/>
          <w:noProof/>
        </w:rPr>
        <w:footnoteReference w:id="5"/>
      </w:r>
      <w:r>
        <w:rPr>
          <w:noProof/>
        </w:rPr>
        <w:t xml:space="preserve">. Obmedzovanie základných slobôd sa nesmie uplatňovať nesprávne, aby v skutočnosti plnilo len čisto ekonomické účely. </w:t>
      </w:r>
      <w:r>
        <w:rPr>
          <w:rStyle w:val="None"/>
          <w:noProof/>
          <w:u w:color="FF0000"/>
        </w:rPr>
        <w:t>Mechanizmus preverovania investícií</w:t>
      </w:r>
      <w:r>
        <w:rPr>
          <w:noProof/>
        </w:rPr>
        <w:t xml:space="preserve"> by mal byť okrem toho v súlade so všeobecnými zásadami práva Únie, predovšetkým</w:t>
      </w:r>
      <w:r>
        <w:rPr>
          <w:noProof/>
        </w:rPr>
        <w:t xml:space="preserve"> zásadami proporcionality a právnej istoty. Tieto zásady si vyžadujú, aby boli postup a kritériá preverovania investícií vymedzené nediskriminačne a dostatočne presne. Potenciálni investori musia mať možnosť poznať takéto mechanizmy vopred a požiadať o súd</w:t>
      </w:r>
      <w:r>
        <w:rPr>
          <w:noProof/>
        </w:rPr>
        <w:t>ne preskúmanie.</w:t>
      </w:r>
    </w:p>
    <w:p w:rsidR="00B90EE1" w:rsidRDefault="003A231F">
      <w:pPr>
        <w:rPr>
          <w:noProof/>
        </w:rPr>
      </w:pPr>
      <w:r>
        <w:rPr>
          <w:noProof/>
        </w:rPr>
        <w:t xml:space="preserve">Navrhované nariadenie zodpovedá týmto požiadavkám. Potvrdzuje sa v ňom, že členské štáty môžu preverovať priame zahraničné investície z hľadiska bezpečnosti alebo verejného poriadku, a nastoľujú sa v ňom základné procedurálne požiadavky na </w:t>
      </w:r>
      <w:r>
        <w:rPr>
          <w:noProof/>
        </w:rPr>
        <w:t>mechanizmy preverovania v členských štátoch, ako sú transparentnosť, nediskriminácia medzi jednotlivými tretími krajinami a súdne preskúmanie.</w:t>
      </w:r>
    </w:p>
    <w:p w:rsidR="00B90EE1" w:rsidRDefault="003A231F">
      <w:pPr>
        <w:rPr>
          <w:noProof/>
        </w:rPr>
      </w:pPr>
      <w:r>
        <w:rPr>
          <w:noProof/>
        </w:rPr>
        <w:t xml:space="preserve">Priama zahraničná investícia môže viesť k usadeniu sa investora z tretej krajiny v EÚ, napr. keď takýto investor </w:t>
      </w:r>
      <w:r>
        <w:rPr>
          <w:noProof/>
        </w:rPr>
        <w:t>nadobudne kontrolný podiel v podniku so sídlom v EÚ. V článku 49 ZFEÚ sa zakazujú obmedzenia slobody usadiť sa štátnych príslušníkov jedného členského štátu na území iného členského štátu. Zatiaľ čo článok 63 ZFEÚ sa uplatňuje aj na pohyb kapitálu z tretíc</w:t>
      </w:r>
      <w:r>
        <w:rPr>
          <w:noProof/>
        </w:rPr>
        <w:t xml:space="preserve">h krajín, článok 49 ZFEÚ sa neuplatňuje na usadenie sa štátnych príslušníkov tretích </w:t>
      </w:r>
      <w:r>
        <w:rPr>
          <w:noProof/>
        </w:rPr>
        <w:lastRenderedPageBreak/>
        <w:t>krajín v EÚ. Navrhovaným nariadením preto nie sú dotknuté ustanovenia zmluvy týkajúce sa slobody usadiť sa.</w:t>
      </w:r>
    </w:p>
    <w:p w:rsidR="00B90EE1" w:rsidRDefault="003A231F">
      <w:pPr>
        <w:keepNext/>
        <w:pBdr>
          <w:top w:val="nil"/>
          <w:left w:val="nil"/>
          <w:bottom w:val="nil"/>
          <w:right w:val="nil"/>
          <w:between w:val="nil"/>
          <w:bar w:val="nil"/>
        </w:pBdr>
        <w:spacing w:before="0" w:after="240"/>
        <w:rPr>
          <w:noProof/>
          <w:u w:val="single"/>
        </w:rPr>
      </w:pPr>
      <w:r>
        <w:rPr>
          <w:noProof/>
          <w:u w:val="single"/>
        </w:rPr>
        <w:t>Nariadenie EÚ o fúziách</w:t>
      </w:r>
    </w:p>
    <w:p w:rsidR="00B90EE1" w:rsidRDefault="003A231F">
      <w:pPr>
        <w:pBdr>
          <w:top w:val="nil"/>
          <w:left w:val="nil"/>
          <w:bottom w:val="nil"/>
          <w:right w:val="nil"/>
          <w:between w:val="nil"/>
          <w:bar w:val="nil"/>
        </w:pBdr>
        <w:spacing w:before="0" w:after="240"/>
        <w:rPr>
          <w:noProof/>
        </w:rPr>
      </w:pPr>
      <w:r>
        <w:rPr>
          <w:noProof/>
        </w:rPr>
        <w:t xml:space="preserve">Priame zahraničné investície môžu mať </w:t>
      </w:r>
      <w:r>
        <w:rPr>
          <w:noProof/>
        </w:rPr>
        <w:t>formu fúzií, nadobudnutí alebo spoločných podnikov, ktoré predstavujú koncentrácie patriace do rozsahu pôsobnosti nariadenia EÚ o fúziách</w:t>
      </w:r>
      <w:r>
        <w:rPr>
          <w:rStyle w:val="Odkaznapoznmkupodiarou"/>
          <w:noProof/>
        </w:rPr>
        <w:footnoteReference w:id="6"/>
      </w:r>
      <w:r>
        <w:rPr>
          <w:noProof/>
        </w:rPr>
        <w:t>. V súvislosti s takými koncentráciami sa v článku 21 ods. 4 nariadenia EÚ o fúziách umožňuje, aby členské štáty prijí</w:t>
      </w:r>
      <w:r>
        <w:rPr>
          <w:noProof/>
        </w:rPr>
        <w:t>mali primerané opatrenia na ochranu oprávnených záujmov za predpokladu, že sú zlučiteľné so všeobecnými zásadami a inými ustanoveniami práva Únie. V článku 21 ods. 4 druhom pododseku sa na tieto účely výslovne uznávajú za oprávnené záujmy verejná bezpečnos</w:t>
      </w:r>
      <w:r>
        <w:rPr>
          <w:noProof/>
        </w:rPr>
        <w:t xml:space="preserve">ť, pluralita masovokomunikačných prostriedkov a pravidlá obozretnosti. Pokiaľ sú rozhodnutia o preverení prijaté podľa navrhovaného nariadenia s cieľom chrániť uvedené záujmy zlučiteľné so všeobecnými zásadami a inými ustanoveniami práva Únie, netreba ich </w:t>
      </w:r>
      <w:r>
        <w:rPr>
          <w:noProof/>
        </w:rPr>
        <w:t>Komisii oznamovať podľa článku 21 ods. 4 tretieho pododseku. Naopak, keď členský štát zamýšľa prijať rozhodnutie o preverení podľa navrhovaného nariadenia s cieľom chrániť iné verejné záujmy, bude potrebné to Komisii oznámiť podľa článku 21 ods. 4 tretieho</w:t>
      </w:r>
      <w:r>
        <w:rPr>
          <w:noProof/>
        </w:rPr>
        <w:t xml:space="preserve"> pododseku, ak sa rozhodnutie týka koncentrácie, ktorá patrí do rozsahu pôsobnosti nariadenia EÚ o fúziách. Komisia zabezpečí konzistentnosť pri uplatňovaní navrhovaného nariadenia a článku 21 ods. 4</w:t>
      </w:r>
      <w:r>
        <w:rPr>
          <w:rStyle w:val="Odkaznapoznmkupodiarou"/>
          <w:noProof/>
        </w:rPr>
        <w:footnoteReference w:id="7"/>
      </w:r>
      <w:r>
        <w:rPr>
          <w:noProof/>
        </w:rPr>
        <w:t>. Pokiaľ sa príslušné rozsahy pôsobnosti daných dvoch na</w:t>
      </w:r>
      <w:r>
        <w:rPr>
          <w:noProof/>
        </w:rPr>
        <w:t>riadení prekrývajú, dôvody na preverovanie uvedené v článku 1 navrhovaného nariadenia a koncepcia oprávnených záujmov v zmysle článku 21 ods. 4 tretieho pododseku nariadenia EÚ o fúziách by sa mali vykladať koherentne bez toho, aby tým bolo dotknuté posúde</w:t>
      </w:r>
      <w:r>
        <w:rPr>
          <w:noProof/>
        </w:rPr>
        <w:t>nie zlučiteľnosti vnútroštátnych opatrení zameraných na ochranu týchto záujmov so všeobecnými zásadami a inými ustanoveniami práva Únie.</w:t>
      </w:r>
    </w:p>
    <w:p w:rsidR="00B90EE1" w:rsidRDefault="003A231F">
      <w:pPr>
        <w:keepNext/>
        <w:pBdr>
          <w:top w:val="nil"/>
          <w:left w:val="nil"/>
          <w:bottom w:val="nil"/>
          <w:right w:val="nil"/>
          <w:between w:val="nil"/>
          <w:bar w:val="nil"/>
        </w:pBdr>
        <w:spacing w:before="0" w:after="240"/>
        <w:rPr>
          <w:noProof/>
          <w:u w:val="single"/>
        </w:rPr>
      </w:pPr>
      <w:r>
        <w:rPr>
          <w:noProof/>
          <w:u w:val="single"/>
        </w:rPr>
        <w:t>Energetika</w:t>
      </w:r>
    </w:p>
    <w:p w:rsidR="00B90EE1" w:rsidRDefault="003A231F">
      <w:pPr>
        <w:pBdr>
          <w:top w:val="nil"/>
          <w:left w:val="nil"/>
          <w:bottom w:val="nil"/>
          <w:right w:val="nil"/>
          <w:between w:val="nil"/>
          <w:bar w:val="nil"/>
        </w:pBdr>
        <w:spacing w:before="0" w:after="240"/>
        <w:rPr>
          <w:noProof/>
        </w:rPr>
      </w:pPr>
      <w:r>
        <w:rPr>
          <w:noProof/>
        </w:rPr>
        <w:t>V priebehu rokov Únia prijala právne predpisy na dosiahnutie väčšej bezpečnosti dodávok v oblasti energetiky</w:t>
      </w:r>
      <w:r>
        <w:rPr>
          <w:noProof/>
        </w:rPr>
        <w:t xml:space="preserve"> Únie a jej členských štátov. V smernici o kritickej infraštruktúre</w:t>
      </w:r>
      <w:r>
        <w:rPr>
          <w:rStyle w:val="Odkaznapoznmkupodiarou"/>
          <w:noProof/>
        </w:rPr>
        <w:footnoteReference w:id="8"/>
      </w:r>
      <w:r>
        <w:rPr>
          <w:noProof/>
        </w:rPr>
        <w:t xml:space="preserve"> sa vyžaduje, aby členské štáty identifikovali európske kritické infraštruktúry a pripravili bezpečnostné plány. Smernica o elektrine a smernica o zemnom plyne, ktoré sú súčasťou tzv. tret</w:t>
      </w:r>
      <w:r>
        <w:rPr>
          <w:noProof/>
        </w:rPr>
        <w:t>ieho energetického balíka (smernica 2009/72/ES o spoločných pravidlách pre vnútorný trh s elektrinou</w:t>
      </w:r>
      <w:r>
        <w:rPr>
          <w:rStyle w:val="Odkaznapoznmkupodiarou"/>
          <w:noProof/>
        </w:rPr>
        <w:footnoteReference w:id="9"/>
      </w:r>
      <w:r>
        <w:rPr>
          <w:noProof/>
        </w:rPr>
        <w:t>, smernica 2009/73/ES o spoločných pravidlách pre vnútorný trh so zemným plynom</w:t>
      </w:r>
      <w:r>
        <w:rPr>
          <w:rStyle w:val="Odkaznapoznmkupodiarou"/>
          <w:noProof/>
        </w:rPr>
        <w:footnoteReference w:id="10"/>
      </w:r>
      <w:r>
        <w:rPr>
          <w:noProof/>
        </w:rPr>
        <w:t xml:space="preserve">) obsahujú ustanovenia, na základe ktorých sa vyžaduje posúdenie následkov </w:t>
      </w:r>
      <w:r>
        <w:rPr>
          <w:noProof/>
        </w:rPr>
        <w:t xml:space="preserve">na bezpečnosť dodávok pre dotknutý členský štát, ale aj pre EÚ ako celok, keď je prepravná sieť zemného plynu alebo elektriny členského štátu pod kontrolou prevádzkovateľa z tretej krajiny. </w:t>
      </w:r>
      <w:r>
        <w:rPr>
          <w:noProof/>
        </w:rPr>
        <w:lastRenderedPageBreak/>
        <w:t>Nariadenie o bezpečnosti dodávok plynu</w:t>
      </w:r>
      <w:r>
        <w:rPr>
          <w:rStyle w:val="Odkaznapoznmkupodiarou"/>
          <w:noProof/>
        </w:rPr>
        <w:footnoteReference w:id="11"/>
      </w:r>
      <w:r>
        <w:rPr>
          <w:noProof/>
        </w:rPr>
        <w:t xml:space="preserve"> sa okrem toho osobitne zam</w:t>
      </w:r>
      <w:r>
        <w:rPr>
          <w:noProof/>
        </w:rPr>
        <w:t>eriava na obavy spojené s bezpečnosťou dodávok. Požaduje sa v ňom, aby členské štáty vykonali posúdenia rizika na vnútroštátnej a regionálnej úrovni, pričom posúdia všetky potenciálne riziká pre plynárenskú sústavu vrátane rizík súvisiacich s tým, že infra</w:t>
      </w:r>
      <w:r>
        <w:rPr>
          <w:noProof/>
        </w:rPr>
        <w:t>štruktúru dôležitú z hľadiska bezpečnosti dodávok kontrolujú subjekty z tretích krajín, a aby pripravili komplexné preventívne akčné plány a núdzové plány, ktoré budú obsahovať opatrenia na zmiernenie uvedených rizík. V rovnakom duchu návrh nariadenia o pr</w:t>
      </w:r>
      <w:r>
        <w:rPr>
          <w:noProof/>
        </w:rPr>
        <w:t>ipravenosti na riziká</w:t>
      </w:r>
      <w:r>
        <w:rPr>
          <w:rStyle w:val="Odkaznapoznmkupodiarou"/>
          <w:noProof/>
        </w:rPr>
        <w:footnoteReference w:id="12"/>
      </w:r>
      <w:r>
        <w:rPr>
          <w:noProof/>
        </w:rPr>
        <w:t xml:space="preserve"> obsahuje obdobné ustanovenia pre sektor elektrickej energie. Energetické subjekty sú ako podstatné služby výslovne začlenené aj do smernice o bezpečnosti sietí infraštruktúry</w:t>
      </w:r>
      <w:r>
        <w:rPr>
          <w:rStyle w:val="Odkaznapoznmkupodiarou"/>
          <w:noProof/>
        </w:rPr>
        <w:footnoteReference w:id="13"/>
      </w:r>
      <w:r>
        <w:rPr>
          <w:noProof/>
        </w:rPr>
        <w:t>.</w:t>
      </w:r>
    </w:p>
    <w:p w:rsidR="00B90EE1" w:rsidRDefault="003A231F">
      <w:pPr>
        <w:pBdr>
          <w:top w:val="nil"/>
          <w:left w:val="nil"/>
          <w:bottom w:val="nil"/>
          <w:right w:val="nil"/>
          <w:between w:val="nil"/>
          <w:bar w:val="nil"/>
        </w:pBdr>
        <w:spacing w:before="0" w:after="240"/>
        <w:rPr>
          <w:noProof/>
          <w:u w:val="single"/>
        </w:rPr>
      </w:pPr>
      <w:r>
        <w:rPr>
          <w:noProof/>
          <w:u w:val="single"/>
        </w:rPr>
        <w:t>Suroviny</w:t>
      </w:r>
    </w:p>
    <w:p w:rsidR="00B90EE1" w:rsidRDefault="003A231F">
      <w:pPr>
        <w:spacing w:before="0" w:after="240"/>
        <w:rPr>
          <w:noProof/>
        </w:rPr>
      </w:pPr>
      <w:r>
        <w:rPr>
          <w:noProof/>
        </w:rPr>
        <w:t xml:space="preserve">Komisia spustila v roku 2008 európsku </w:t>
      </w:r>
      <w:r>
        <w:rPr>
          <w:noProof/>
        </w:rPr>
        <w:t>iniciatívu v oblasti surovín, ktorej cieľom je riešiť vzrastajúce obavy týkajúce sa zabezpečenia cenných surovín pre hospodárstvo Únie. Ide o integrovanú stratégiu, v ktorej sa stanovujú adresné opatrenia na zabezpečenie a zlepšenie prístupu EÚ k surovinám</w:t>
      </w:r>
      <w:r>
        <w:rPr>
          <w:noProof/>
        </w:rPr>
        <w:t xml:space="preserve">. Jedným z hlavných opatrení tejto iniciatívy bolo vypracovať zoznam kritických surovín na úrovni EÚ. Na tomto zozname sa uvádzajú suroviny, ktoré dosahujú alebo prekračujú limity z hľadiska hospodárskeho významu aj z hľadiska rizika zabezpečenia dodávok. </w:t>
      </w:r>
      <w:r>
        <w:rPr>
          <w:noProof/>
        </w:rPr>
        <w:t>Komisia stanovila prvý zoznam v roku 2011 a zaviazala sa ho aktualizovať aspoň každé tri roky v snahe zohľadniť vývoj na trhu, v oblasti produkcie a technologický vývoj</w:t>
      </w:r>
      <w:r>
        <w:rPr>
          <w:rStyle w:val="Odkaznapoznmkupodiarou"/>
          <w:noProof/>
        </w:rPr>
        <w:footnoteReference w:id="14"/>
      </w:r>
      <w:r>
        <w:rPr>
          <w:noProof/>
        </w:rPr>
        <w:t>. V roku 2014 bol uverejnený druhý zoznam a súbežne s týmto nariadením sa uverejňuje no</w:t>
      </w:r>
      <w:r>
        <w:rPr>
          <w:noProof/>
        </w:rPr>
        <w:t>vý zoznam.</w:t>
      </w:r>
    </w:p>
    <w:p w:rsidR="00B90EE1" w:rsidRDefault="003A231F">
      <w:pPr>
        <w:spacing w:before="0" w:after="240"/>
        <w:rPr>
          <w:noProof/>
        </w:rPr>
      </w:pPr>
      <w:r>
        <w:rPr>
          <w:noProof/>
        </w:rPr>
        <w:t>Zoznam kritických surovín by mal prispieť k stimulovaniu európskej produkcie kritických surovín a uľahčovať začatie nových ťažobných a recyklačných činností. Komisia v posledných rokoch zohľadnila zoznam kritických surovín prostredníctvom celého</w:t>
      </w:r>
      <w:r>
        <w:rPr>
          <w:noProof/>
        </w:rPr>
        <w:t xml:space="preserve"> radu opatrení v oblasti obchodu, medzinárodných vzťahov, výskumu a inovácie, vedomostnej základne a obehového hospodárstva. EÚ podporuje doplňujúce politické iniciatívy členských štátov, ktoré sú zapojené aj do vypracúvania zoznamu kritických surovín.</w:t>
      </w:r>
    </w:p>
    <w:p w:rsidR="00B90EE1" w:rsidRDefault="003A231F">
      <w:pPr>
        <w:pBdr>
          <w:top w:val="nil"/>
          <w:left w:val="nil"/>
          <w:bottom w:val="nil"/>
          <w:right w:val="nil"/>
          <w:between w:val="nil"/>
          <w:bar w:val="nil"/>
        </w:pBdr>
        <w:spacing w:before="0" w:after="240"/>
        <w:rPr>
          <w:noProof/>
          <w:u w:val="single"/>
        </w:rPr>
      </w:pPr>
      <w:r>
        <w:rPr>
          <w:noProof/>
          <w:u w:val="single"/>
        </w:rPr>
        <w:t>Kyb</w:t>
      </w:r>
      <w:r>
        <w:rPr>
          <w:noProof/>
          <w:u w:val="single"/>
        </w:rPr>
        <w:t>ernetická bezpečnosť a elektronické komunikácie</w:t>
      </w:r>
    </w:p>
    <w:p w:rsidR="00B90EE1" w:rsidRDefault="003A231F">
      <w:pPr>
        <w:pBdr>
          <w:top w:val="nil"/>
          <w:left w:val="nil"/>
          <w:bottom w:val="nil"/>
          <w:right w:val="nil"/>
          <w:between w:val="nil"/>
          <w:bar w:val="nil"/>
        </w:pBdr>
        <w:spacing w:before="0" w:after="240"/>
        <w:rPr>
          <w:noProof/>
          <w:u w:val="single"/>
        </w:rPr>
      </w:pPr>
      <w:r>
        <w:rPr>
          <w:noProof/>
        </w:rPr>
        <w:t>Navrhované nariadenie bude dopĺňať politiky EÚ v oblasti elektronických komunikácií, kybernetickej bezpečnosti, ochrany kritickej infraštruktúry a priemyselnej konkurencieschopnosti produktov kybernetickej be</w:t>
      </w:r>
      <w:r>
        <w:rPr>
          <w:noProof/>
        </w:rPr>
        <w:t>zpečnosti a služieb v oblasti kybernetickej bezpečnosti. V spoločnom oznámení Komisie a vysokej predstaviteľky EÚ pre zahraničné veci a bezpečnostnú politiku o stratégii kybernetickej bezpečnosti Európskej únie sa predostrela vízia otvoreného, bezpečného a</w:t>
      </w:r>
      <w:r>
        <w:rPr>
          <w:noProof/>
        </w:rPr>
        <w:t> chráneného kybernetického priestoru</w:t>
      </w:r>
      <w:r>
        <w:rPr>
          <w:rStyle w:val="Odkaznapoznmkupodiarou"/>
          <w:noProof/>
        </w:rPr>
        <w:footnoteReference w:id="15"/>
      </w:r>
      <w:r>
        <w:rPr>
          <w:noProof/>
        </w:rPr>
        <w:t>. Nasledovalo nariadenie č. 283/2014</w:t>
      </w:r>
      <w:r>
        <w:rPr>
          <w:rStyle w:val="Odkaznapoznmkupodiarou"/>
          <w:noProof/>
        </w:rPr>
        <w:footnoteReference w:id="16"/>
      </w:r>
      <w:r>
        <w:rPr>
          <w:noProof/>
        </w:rPr>
        <w:t xml:space="preserve">, v ktorom sa určujú projekty spoločného záujmu, pokiaľ ide </w:t>
      </w:r>
      <w:r>
        <w:rPr>
          <w:noProof/>
        </w:rPr>
        <w:lastRenderedPageBreak/>
        <w:t>o transeurópske siete v oblasti telekomunikačnej infraštruktúry. V smernici 2016/1148 sa navyše ukladajú členským štátom p</w:t>
      </w:r>
      <w:r>
        <w:rPr>
          <w:noProof/>
        </w:rPr>
        <w:t>ovinnosti pripravenosti z hľadiska kybernetickej bezpečnosti a pre prevádzkovateľov základných služieb a poskytovateľov digitálnych služieb sa zavádzajú požiadavky pripravenosti a oznamovania</w:t>
      </w:r>
      <w:r>
        <w:rPr>
          <w:rStyle w:val="Odkaznapoznmkupodiarou"/>
          <w:noProof/>
        </w:rPr>
        <w:footnoteReference w:id="17"/>
      </w:r>
      <w:r>
        <w:rPr>
          <w:noProof/>
        </w:rPr>
        <w:t>. V júli 2016 Komisia oznámila vytvorenie verejno-súkromného par</w:t>
      </w:r>
      <w:r>
        <w:rPr>
          <w:noProof/>
        </w:rPr>
        <w:t>tnerstva v oblasti kybernetickej bezpečnosti a zavedenie ďalších trhovo orientovaných opatrení politiky na stimulovanie priemyselných kapacít v Európe</w:t>
      </w:r>
      <w:r>
        <w:rPr>
          <w:rStyle w:val="Odkaznapoznmkupodiarou"/>
          <w:noProof/>
        </w:rPr>
        <w:footnoteReference w:id="18"/>
      </w:r>
      <w:r>
        <w:rPr>
          <w:noProof/>
        </w:rPr>
        <w:t>. Na uvedené účely sa využívajú aj finančné prostriedky EÚ z programu Horizont 2020 a Nástroja na prepája</w:t>
      </w:r>
      <w:r>
        <w:rPr>
          <w:noProof/>
        </w:rPr>
        <w:t>nie Európy.</w:t>
      </w:r>
      <w:r>
        <w:rPr>
          <w:rStyle w:val="Odkaznapoznmkupodiarou"/>
          <w:noProof/>
        </w:rPr>
        <w:t xml:space="preserve"> </w:t>
      </w:r>
      <w:r>
        <w:rPr>
          <w:rStyle w:val="Odkaznapoznmkupodiarou"/>
          <w:noProof/>
        </w:rPr>
        <w:footnoteReference w:id="19"/>
      </w:r>
      <w:r>
        <w:rPr>
          <w:noProof/>
        </w:rPr>
        <w:t xml:space="preserve"> V septembri 2017 Komisia takisto predložila oznámenie, v ktorom sa stanovuje komplexný prístup EÚ ku kybernetickej bezpečnosti, a to aj v celosvetovom meradle, a navrhla aj nariadenie, v ktorom sa zriaďuje celoúnijný rámec kyberneticko-bezpeč</w:t>
      </w:r>
      <w:r>
        <w:rPr>
          <w:noProof/>
        </w:rPr>
        <w:t>nostnej certifikácie s cieľom zabrániť fragmentácii trhov a dosiahnuť, aby používatelia ľahšie zistili, či sú produkty a služby IKT (vrátane pripojených predmetov) kyberneticky bezpečné.</w:t>
      </w:r>
    </w:p>
    <w:p w:rsidR="00B90EE1" w:rsidRDefault="003A231F">
      <w:pPr>
        <w:pBdr>
          <w:top w:val="nil"/>
          <w:left w:val="nil"/>
          <w:bottom w:val="nil"/>
          <w:right w:val="nil"/>
          <w:between w:val="nil"/>
          <w:bar w:val="nil"/>
        </w:pBdr>
        <w:spacing w:before="0" w:after="240"/>
        <w:rPr>
          <w:noProof/>
          <w:u w:val="single"/>
        </w:rPr>
      </w:pPr>
      <w:r>
        <w:rPr>
          <w:noProof/>
          <w:u w:val="single"/>
        </w:rPr>
        <w:t>Letecká doprava</w:t>
      </w:r>
    </w:p>
    <w:p w:rsidR="00B90EE1" w:rsidRDefault="003A231F">
      <w:pPr>
        <w:pBdr>
          <w:top w:val="nil"/>
          <w:left w:val="nil"/>
          <w:bottom w:val="nil"/>
          <w:right w:val="nil"/>
          <w:between w:val="nil"/>
          <w:bar w:val="nil"/>
        </w:pBdr>
        <w:spacing w:before="0" w:after="240"/>
        <w:rPr>
          <w:noProof/>
        </w:rPr>
      </w:pPr>
      <w:r>
        <w:rPr>
          <w:noProof/>
        </w:rPr>
        <w:t>Navrhované nariadenie sa nedotkne nariadenia (ES) č. </w:t>
      </w:r>
      <w:r>
        <w:rPr>
          <w:noProof/>
        </w:rPr>
        <w:t>1008/2008 o spoločných pravidlách prevádzky leteckých dopravných služieb v Spoločenstve</w:t>
      </w:r>
      <w:r>
        <w:rPr>
          <w:rStyle w:val="Odkaznapoznmkupodiarou"/>
          <w:noProof/>
        </w:rPr>
        <w:footnoteReference w:id="20"/>
      </w:r>
      <w:r>
        <w:rPr>
          <w:noProof/>
        </w:rPr>
        <w:t>, keďže v nariadení (ES) č. 1008/2008 sa nezavádza mechanizmus preverovania investícií. Podľa nariadenia (ES) č. 1008/2008 je jednou z podmienok udelenia prevádzkovej l</w:t>
      </w:r>
      <w:r>
        <w:rPr>
          <w:noProof/>
        </w:rPr>
        <w:t>icencie podniku na leteckú prepravu cestujúcich, pošty alebo nákladu za odplatu alebo v prenájme, aby uvedené členské štáty alebo štátni príslušníci členských štátov vlastnili viac ako 50 % daného podniku a účinne ho riadili (článok 4).</w:t>
      </w:r>
    </w:p>
    <w:p w:rsidR="00B90EE1" w:rsidRDefault="003A231F">
      <w:pPr>
        <w:pBdr>
          <w:top w:val="nil"/>
          <w:left w:val="nil"/>
          <w:bottom w:val="nil"/>
          <w:right w:val="nil"/>
          <w:between w:val="nil"/>
          <w:bar w:val="nil"/>
        </w:pBdr>
        <w:spacing w:before="0" w:after="240"/>
        <w:rPr>
          <w:noProof/>
          <w:u w:val="single"/>
        </w:rPr>
      </w:pPr>
      <w:r>
        <w:rPr>
          <w:noProof/>
          <w:u w:val="single"/>
        </w:rPr>
        <w:t>Obozretné posudzova</w:t>
      </w:r>
      <w:r>
        <w:rPr>
          <w:noProof/>
          <w:u w:val="single"/>
        </w:rPr>
        <w:t>nie nadobudnutí vo finančnom sektore</w:t>
      </w:r>
    </w:p>
    <w:p w:rsidR="00B90EE1" w:rsidRDefault="003A231F">
      <w:pPr>
        <w:pBdr>
          <w:top w:val="nil"/>
          <w:left w:val="nil"/>
          <w:bottom w:val="nil"/>
          <w:right w:val="nil"/>
          <w:between w:val="nil"/>
          <w:bar w:val="nil"/>
        </w:pBdr>
        <w:spacing w:before="0" w:after="240"/>
        <w:rPr>
          <w:noProof/>
        </w:rPr>
      </w:pPr>
      <w:r>
        <w:rPr>
          <w:noProof/>
        </w:rPr>
        <w:t>V právnych predpisoch EÚ vo finančnom sektore sa pre príslušné orgány stanovuje právomoc vykonávať obozretné posudzovanie nadobudnutí a zvýšení podielov vo finančných inštitúciách (t. j. úverových inštitúciách, investič</w:t>
      </w:r>
      <w:r>
        <w:rPr>
          <w:noProof/>
        </w:rPr>
        <w:t>ných spoločnostiach a poisťovniach a zaisťovniach). Stanovujú sa v nich požiadavky v oblasti oznamovania, procesné pravidlá a hodnotiace kritériá pre takéto posúdenia. Cieľom týchto ustanovení je zabezpečiť riadne a obozretné riadenie finančných inštitúcií</w:t>
      </w:r>
      <w:r>
        <w:rPr>
          <w:noProof/>
        </w:rPr>
        <w:t xml:space="preserve">. Tieto pravidlá sa uvádzajú v smernici 2007/44/ES o procesných pravidlách a kritériách hodnotenia obozretného posudzovania nadobudnutí a zvýšení podielov vo finančnom sektore, smernici 2013/36/EÚ o prístupe k činnosti úverových inštitúcií a prudenciálnom </w:t>
      </w:r>
      <w:r>
        <w:rPr>
          <w:noProof/>
        </w:rPr>
        <w:t>dohľade nad úverovými inštitúciami a investičnými spoločnosťami, smernici 2009/138/ES o začatí a vykonávaní poistenia a zaistenia (Solventnosť II) a smernici 2014/65/EÚ o trhoch s finančnými nástrojmi</w:t>
      </w:r>
      <w:r>
        <w:rPr>
          <w:rStyle w:val="Odkaznapoznmkupodiarou"/>
          <w:noProof/>
        </w:rPr>
        <w:footnoteReference w:id="21"/>
      </w:r>
      <w:r>
        <w:rPr>
          <w:noProof/>
        </w:rPr>
        <w:t>.</w:t>
      </w:r>
    </w:p>
    <w:p w:rsidR="00B90EE1" w:rsidRDefault="003A231F">
      <w:pPr>
        <w:pBdr>
          <w:top w:val="nil"/>
          <w:left w:val="nil"/>
          <w:bottom w:val="nil"/>
          <w:right w:val="nil"/>
          <w:between w:val="nil"/>
          <w:bar w:val="nil"/>
        </w:pBdr>
        <w:spacing w:before="0" w:after="240"/>
        <w:rPr>
          <w:noProof/>
        </w:rPr>
      </w:pPr>
      <w:r>
        <w:rPr>
          <w:noProof/>
        </w:rPr>
        <w:lastRenderedPageBreak/>
        <w:t>Navrhovaným nariadením nebudú dotknuté pravidlá EÚ pr</w:t>
      </w:r>
      <w:r>
        <w:rPr>
          <w:noProof/>
        </w:rPr>
        <w:t>e obozretné preskúmanie nadobudnutí kvalifikovanej účasti vo finančnom sektore, ktoré zostanú samostatným postupom s vlastným cieľom.</w:t>
      </w:r>
    </w:p>
    <w:p w:rsidR="00B90EE1" w:rsidRDefault="003A231F">
      <w:pPr>
        <w:pBdr>
          <w:top w:val="nil"/>
          <w:left w:val="nil"/>
          <w:bottom w:val="nil"/>
          <w:right w:val="nil"/>
          <w:between w:val="nil"/>
          <w:bar w:val="nil"/>
        </w:pBdr>
        <w:spacing w:before="0" w:after="240"/>
        <w:rPr>
          <w:noProof/>
          <w:u w:val="single"/>
        </w:rPr>
      </w:pPr>
      <w:r>
        <w:rPr>
          <w:noProof/>
          <w:u w:val="single"/>
        </w:rPr>
        <w:t>Kontrola vývozu položiek s dvojakým použitím</w:t>
      </w:r>
    </w:p>
    <w:p w:rsidR="00B90EE1" w:rsidRDefault="003A231F">
      <w:pPr>
        <w:rPr>
          <w:noProof/>
        </w:rPr>
      </w:pPr>
      <w:r>
        <w:rPr>
          <w:noProof/>
        </w:rPr>
        <w:t xml:space="preserve">Navrhovaným nariadením nebude dotknutá kontrola vývozu položiek s dvojakým </w:t>
      </w:r>
      <w:r>
        <w:rPr>
          <w:noProof/>
        </w:rPr>
        <w:t>použitím upravená nariadením (ES) č. 428/2009</w:t>
      </w:r>
      <w:r>
        <w:rPr>
          <w:rStyle w:val="Odkaznapoznmkupodiarou"/>
          <w:noProof/>
        </w:rPr>
        <w:footnoteReference w:id="22"/>
      </w:r>
      <w:r>
        <w:rPr>
          <w:noProof/>
        </w:rPr>
        <w:t>. Obchod s položkami s dvojakým použitím podlieha kontrolám, aby sa zabránilo rizikám, ktoré tieto položky môžu predstavovať pre medzinárodnú bezpečnosť. Kontroly vyplývajú z medzinárodných povinností a sú v sú</w:t>
      </w:r>
      <w:r>
        <w:rPr>
          <w:noProof/>
        </w:rPr>
        <w:t>lade so záväzkami dohodnutými v rámci mnohostranných režimov kontroly vývozu. Režim kontroly vývozu EÚ je upravený nariadením (ES) č. 428/2009, ktorým sa stanovuje režim Spoločenstva na kontrolu vývozov, prepravy, sprostredkovania a tranzitu položiek s dvo</w:t>
      </w:r>
      <w:r>
        <w:rPr>
          <w:noProof/>
        </w:rPr>
        <w:t>jakým použitím, v ktorom sa stanovujú spoločné pravidlá kontroly, spoločný zoznam položiek s dvojakým použitím, ako aj koordinácia a spolupráca na podporu jednotného vykonávania a presadzovania v celej Únii. Nariadenie je záväzné a priamo uplatniteľné v ce</w:t>
      </w:r>
      <w:r>
        <w:rPr>
          <w:noProof/>
        </w:rPr>
        <w:t>lej EÚ.</w:t>
      </w:r>
    </w:p>
    <w:p w:rsidR="00B90EE1" w:rsidRDefault="003A231F">
      <w:pPr>
        <w:pBdr>
          <w:top w:val="nil"/>
          <w:left w:val="nil"/>
          <w:bottom w:val="nil"/>
          <w:right w:val="nil"/>
          <w:between w:val="nil"/>
          <w:bar w:val="nil"/>
        </w:pBdr>
        <w:spacing w:before="0" w:after="240"/>
        <w:rPr>
          <w:noProof/>
          <w:u w:val="single"/>
        </w:rPr>
      </w:pPr>
      <w:r>
        <w:rPr>
          <w:noProof/>
          <w:u w:val="single"/>
        </w:rPr>
        <w:t>Európska politika v oblasti kozmického priestoru</w:t>
      </w:r>
    </w:p>
    <w:p w:rsidR="00B90EE1" w:rsidRDefault="003A231F">
      <w:pPr>
        <w:pBdr>
          <w:top w:val="nil"/>
          <w:left w:val="nil"/>
          <w:bottom w:val="nil"/>
          <w:right w:val="nil"/>
          <w:between w:val="nil"/>
          <w:bar w:val="nil"/>
        </w:pBdr>
        <w:spacing w:before="0" w:after="240"/>
        <w:rPr>
          <w:noProof/>
        </w:rPr>
      </w:pPr>
      <w:r>
        <w:rPr>
          <w:noProof/>
        </w:rPr>
        <w:t>Komisia vo svojom oznámení s názvom Stratégia pre Európu v oblasti kozmického priestoru vyzdvihla dôležitosť riešenia zraniteľnosti európskych dodávateľských reťazcov. Zriadenie rámca na preverovanie</w:t>
      </w:r>
      <w:r>
        <w:rPr>
          <w:noProof/>
        </w:rPr>
        <w:t xml:space="preserve"> priamych zahraničných investícií napomáha dosiahnutie tohto cieľa.</w:t>
      </w:r>
    </w:p>
    <w:p w:rsidR="00B90EE1" w:rsidRDefault="003A231F">
      <w:pPr>
        <w:pStyle w:val="ManualHeading1"/>
        <w:rPr>
          <w:noProof/>
        </w:rPr>
      </w:pPr>
      <w:r>
        <w:rPr>
          <w:noProof/>
        </w:rPr>
        <w:t>2.</w:t>
      </w:r>
      <w:r>
        <w:rPr>
          <w:noProof/>
        </w:rPr>
        <w:tab/>
        <w:t>PRÁVNY ZÁKLAD, SUBSIDIARITA A PROPORCIONALITA</w:t>
      </w:r>
    </w:p>
    <w:p w:rsidR="00B90EE1" w:rsidRDefault="003A231F">
      <w:pPr>
        <w:pStyle w:val="ManualHeading2"/>
        <w:rPr>
          <w:rFonts w:eastAsia="Arial Unicode MS"/>
          <w:noProof/>
          <w:u w:color="000000"/>
          <w:bdr w:val="nil"/>
        </w:rPr>
      </w:pPr>
      <w:r>
        <w:rPr>
          <w:noProof/>
        </w:rPr>
        <w:t>•</w:t>
      </w:r>
      <w:r>
        <w:rPr>
          <w:noProof/>
        </w:rPr>
        <w:tab/>
        <w:t>Právny základ</w:t>
      </w:r>
    </w:p>
    <w:p w:rsidR="00B90EE1" w:rsidRDefault="003A231F">
      <w:pPr>
        <w:pBdr>
          <w:top w:val="nil"/>
          <w:left w:val="nil"/>
          <w:bottom w:val="nil"/>
          <w:right w:val="nil"/>
          <w:between w:val="nil"/>
          <w:bar w:val="nil"/>
        </w:pBdr>
        <w:spacing w:before="0" w:after="240"/>
        <w:rPr>
          <w:noProof/>
        </w:rPr>
      </w:pPr>
      <w:r>
        <w:rPr>
          <w:noProof/>
        </w:rPr>
        <w:t xml:space="preserve">Priame zahraničné investície patria do zoznamu oblastí, ktoré spadajú pod spoločnú obchodnú politiku podľa článku 207 ods. </w:t>
      </w:r>
      <w:r>
        <w:rPr>
          <w:noProof/>
        </w:rPr>
        <w:t>1 ZFEÚ. Pokiaľ ide o spoločnú obchodnú politiku, Európska únia má v súlade s článkom 3 ods. 1 písm. e) ZFEÚ výlučnú právomoc. Len Únia môže preto v tejto oblasti vyvíjať legislatívnu činnosť a prijímať právne záväzné akty.</w:t>
      </w:r>
    </w:p>
    <w:p w:rsidR="00B90EE1" w:rsidRDefault="003A231F">
      <w:pPr>
        <w:pStyle w:val="ManualHeading2"/>
        <w:rPr>
          <w:noProof/>
        </w:rPr>
      </w:pPr>
      <w:r>
        <w:rPr>
          <w:noProof/>
        </w:rPr>
        <w:t>•</w:t>
      </w:r>
      <w:r>
        <w:rPr>
          <w:noProof/>
        </w:rPr>
        <w:tab/>
        <w:t>Subsidiarita (v prípade inej ak</w:t>
      </w:r>
      <w:r>
        <w:rPr>
          <w:noProof/>
        </w:rPr>
        <w:t>o výlučnej právomoci)</w:t>
      </w:r>
    </w:p>
    <w:p w:rsidR="00B90EE1" w:rsidRDefault="003A231F">
      <w:pPr>
        <w:pBdr>
          <w:top w:val="nil"/>
          <w:left w:val="nil"/>
          <w:bottom w:val="nil"/>
          <w:right w:val="nil"/>
          <w:between w:val="nil"/>
          <w:bar w:val="nil"/>
        </w:pBdr>
        <w:spacing w:before="0" w:after="240"/>
        <w:rPr>
          <w:noProof/>
        </w:rPr>
      </w:pPr>
      <w:r>
        <w:rPr>
          <w:noProof/>
        </w:rPr>
        <w:t>Neuplatňuje sa. Európska únia má výlučnú právomoc, pokiaľ ide o priame zahraničné investície patriace do zoznamu oblastí, ktoré spadajú pod spoločnú obchodnú politiku podľa článku 207 ods. 1 ZFEÚ.</w:t>
      </w:r>
    </w:p>
    <w:p w:rsidR="00B90EE1" w:rsidRDefault="003A231F">
      <w:pPr>
        <w:pStyle w:val="ManualHeading2"/>
        <w:rPr>
          <w:rFonts w:eastAsia="Arial Unicode MS"/>
          <w:noProof/>
          <w:u w:color="000000"/>
          <w:bdr w:val="nil"/>
        </w:rPr>
      </w:pPr>
      <w:r>
        <w:rPr>
          <w:noProof/>
        </w:rPr>
        <w:t>•</w:t>
      </w:r>
      <w:r>
        <w:rPr>
          <w:noProof/>
        </w:rPr>
        <w:tab/>
        <w:t>Proporcionalita</w:t>
      </w:r>
    </w:p>
    <w:p w:rsidR="00B90EE1" w:rsidRDefault="003A231F">
      <w:pPr>
        <w:pBdr>
          <w:top w:val="nil"/>
          <w:left w:val="nil"/>
          <w:bottom w:val="nil"/>
          <w:right w:val="nil"/>
          <w:between w:val="nil"/>
          <w:bar w:val="nil"/>
        </w:pBdr>
        <w:spacing w:before="0" w:after="240"/>
        <w:rPr>
          <w:noProof/>
        </w:rPr>
      </w:pPr>
      <w:r>
        <w:rPr>
          <w:noProof/>
        </w:rPr>
        <w:t>Ustanovenia v tomto</w:t>
      </w:r>
      <w:r>
        <w:rPr>
          <w:noProof/>
        </w:rPr>
        <w:t xml:space="preserve"> návrhu sa obmedzujú na to, čo je potrebné na dosiahnutie cieľov nariadenia, a sú preto v súlade so zásadami proporcionality.</w:t>
      </w:r>
    </w:p>
    <w:p w:rsidR="00B90EE1" w:rsidRDefault="003A231F">
      <w:pPr>
        <w:pBdr>
          <w:top w:val="nil"/>
          <w:left w:val="nil"/>
          <w:bottom w:val="nil"/>
          <w:right w:val="nil"/>
          <w:between w:val="nil"/>
          <w:bar w:val="nil"/>
        </w:pBdr>
        <w:spacing w:before="0" w:after="240"/>
        <w:rPr>
          <w:noProof/>
        </w:rPr>
      </w:pPr>
      <w:r>
        <w:rPr>
          <w:noProof/>
        </w:rPr>
        <w:t>Návrhom sa pre členské štáty zriaďuje podporný rámec na preverovanie priamych zahraničných investícií z hľadiska bezpečnosti a ver</w:t>
      </w:r>
      <w:r>
        <w:rPr>
          <w:noProof/>
        </w:rPr>
        <w:t xml:space="preserve">ejného poriadku. V navrhovanom nariadení sa nepožaduje, aby členské štáty prijali mechanizmus preverovania priamych zahraničných investícií, ani sa v ňom nepredpisujú vyčerpávajúce vecné či procedurálne prvky mechanizmov </w:t>
      </w:r>
      <w:r>
        <w:rPr>
          <w:noProof/>
        </w:rPr>
        <w:lastRenderedPageBreak/>
        <w:t>preverovania. Stanovujú sa v ňom le</w:t>
      </w:r>
      <w:r>
        <w:rPr>
          <w:noProof/>
        </w:rPr>
        <w:t>n základné požiadavky, ktoré by mali spĺňať všetky mechanizmy preverovania členských štátov.</w:t>
      </w:r>
    </w:p>
    <w:p w:rsidR="00B90EE1" w:rsidRDefault="003A231F">
      <w:pPr>
        <w:pBdr>
          <w:top w:val="nil"/>
          <w:left w:val="nil"/>
          <w:bottom w:val="nil"/>
          <w:right w:val="nil"/>
          <w:between w:val="nil"/>
          <w:bar w:val="nil"/>
        </w:pBdr>
        <w:spacing w:before="0" w:after="240"/>
        <w:rPr>
          <w:noProof/>
        </w:rPr>
      </w:pPr>
      <w:r>
        <w:rPr>
          <w:noProof/>
        </w:rPr>
        <w:t>Návrhom sa zriaďuje mechanizmus spolupráce medzi členskými štátmi na výmenu informácií o priamych zahraničných investíciách, ktoré sa plánujú alebo sa zrealizovali</w:t>
      </w:r>
      <w:r>
        <w:rPr>
          <w:noProof/>
        </w:rPr>
        <w:t xml:space="preserve"> na území jedného alebo viacerých členských štátov. Iným členským štátom a Komisii zároveň poskytuje možnosť predložiť pripomienky k takejto investícii, konečné rozhodnutie o vhodnej reakcii však ponecháva na členské štáty, v ktorých sa investícia plánuje </w:t>
      </w:r>
      <w:r>
        <w:rPr>
          <w:noProof/>
        </w:rPr>
        <w:t>alebo realizuje.</w:t>
      </w:r>
    </w:p>
    <w:p w:rsidR="00B90EE1" w:rsidRDefault="003A231F">
      <w:pPr>
        <w:pBdr>
          <w:top w:val="nil"/>
          <w:left w:val="nil"/>
          <w:bottom w:val="nil"/>
          <w:right w:val="nil"/>
          <w:between w:val="nil"/>
          <w:bar w:val="nil"/>
        </w:pBdr>
        <w:spacing w:before="0" w:after="240"/>
        <w:rPr>
          <w:noProof/>
        </w:rPr>
      </w:pPr>
      <w:r>
        <w:rPr>
          <w:noProof/>
        </w:rPr>
        <w:t>V návrhu sa okrem toho zavádza možnosť, aby Komisia z hľadiska bezpečnosti a verejného poriadku preverovala priame zahraničné investície, ktoré môžu mať vplyv na projekty alebo programy v záujme Únie. K projektom alebo programom v záujme Ú</w:t>
      </w:r>
      <w:r>
        <w:rPr>
          <w:noProof/>
        </w:rPr>
        <w:t>nie patria najmä tie, ktoré sú do veľkej miery financované z EÚ alebo sú zavedené právnymi predpismi Únie týkajúcimi sa kritickej infraštruktúry, kritických technológií či kritických vstupov. V záujme zabezpečenia transparentnosti a právnej istoty sa v prí</w:t>
      </w:r>
      <w:r>
        <w:rPr>
          <w:noProof/>
        </w:rPr>
        <w:t>lohe k tomuto nariadeniu uvádza orientačný zoznam projektov alebo programov v záujme Únie. Rozsah preverovania zostáva obmedzený na potenciálne ohrozenie bezpečnosti a verejného poriadku. Komisia bude schopná poskytnúť stanovisko tým členským štátom, v kto</w:t>
      </w:r>
      <w:r>
        <w:rPr>
          <w:noProof/>
        </w:rPr>
        <w:t>rých sa investícia plánuje alebo realizuje, pričom konečné rozhodnutie o vhodnej reakcii zverí daným členským štátom.</w:t>
      </w:r>
    </w:p>
    <w:p w:rsidR="00B90EE1" w:rsidRDefault="003A231F">
      <w:pPr>
        <w:pBdr>
          <w:top w:val="nil"/>
          <w:left w:val="nil"/>
          <w:bottom w:val="nil"/>
          <w:right w:val="nil"/>
          <w:between w:val="nil"/>
          <w:bar w:val="nil"/>
        </w:pBdr>
        <w:spacing w:before="0" w:after="240"/>
        <w:rPr>
          <w:noProof/>
        </w:rPr>
      </w:pPr>
      <w:r>
        <w:rPr>
          <w:noProof/>
        </w:rPr>
        <w:t>V neposlednom rade, hoci na úrovni EÚ a na úrovni členských štátov už existujú viaceré požiadavky týkajúce sa zverejňovania významných pod</w:t>
      </w:r>
      <w:r>
        <w:rPr>
          <w:noProof/>
        </w:rPr>
        <w:t>ielov</w:t>
      </w:r>
      <w:r>
        <w:rPr>
          <w:rStyle w:val="Odkaznapoznmkupodiarou"/>
          <w:noProof/>
        </w:rPr>
        <w:footnoteReference w:id="23"/>
      </w:r>
      <w:r>
        <w:rPr>
          <w:noProof/>
        </w:rPr>
        <w:t>, tieto požiadavky sa týkajú najmä kótovaných spoločností a nezahŕňajú povinnosť poskytnúť informácie potrebné na vykonanie úplného posúdenia plánovaných alebo zrealizovaných priamych zahraničných investícií. V navrhovanom nariadení sa teda zavádzajú</w:t>
      </w:r>
      <w:r>
        <w:rPr>
          <w:noProof/>
        </w:rPr>
        <w:t xml:space="preserve"> prostriedky, pomocou ktorých si členské štáty a Komisia môžu vyžiadať informácie na účely vykonávania navrhovaného nariadenia, pričom sa minimalizuje bremeno kladené na členské štáty, investorov a spoločnosti z EÚ, keďže sa od nich nevyžaduje, aby tieto i</w:t>
      </w:r>
      <w:r>
        <w:rPr>
          <w:noProof/>
        </w:rPr>
        <w:t>nformácie poskytovali automaticky a vopred.</w:t>
      </w:r>
    </w:p>
    <w:p w:rsidR="00B90EE1" w:rsidRDefault="003A231F">
      <w:pPr>
        <w:pStyle w:val="ManualHeading2"/>
        <w:rPr>
          <w:rFonts w:eastAsia="Arial Unicode MS"/>
          <w:noProof/>
          <w:u w:color="000000"/>
          <w:bdr w:val="nil"/>
        </w:rPr>
      </w:pPr>
      <w:r>
        <w:rPr>
          <w:noProof/>
        </w:rPr>
        <w:t>•</w:t>
      </w:r>
      <w:r>
        <w:rPr>
          <w:noProof/>
        </w:rPr>
        <w:tab/>
        <w:t>Výber nástroja</w:t>
      </w:r>
    </w:p>
    <w:p w:rsidR="00B90EE1" w:rsidRDefault="003A231F">
      <w:pPr>
        <w:pBdr>
          <w:top w:val="nil"/>
          <w:left w:val="nil"/>
          <w:bottom w:val="nil"/>
          <w:right w:val="nil"/>
          <w:between w:val="nil"/>
          <w:bar w:val="nil"/>
        </w:pBdr>
        <w:spacing w:before="0" w:after="240"/>
        <w:rPr>
          <w:noProof/>
        </w:rPr>
      </w:pPr>
      <w:r>
        <w:rPr>
          <w:noProof/>
        </w:rPr>
        <w:t>V článku 207 ods. 2 ZFEÚ sa stanovuje, že Európsky parlament a Rada v súlade s riadnym legislatívnym postupom prijmú prostredníctvom nariadení opatrenia vymedzujúce rámec pre uskutočňovanie spolo</w:t>
      </w:r>
      <w:r>
        <w:rPr>
          <w:noProof/>
        </w:rPr>
        <w:t>čnej obchodnej politiky.</w:t>
      </w:r>
    </w:p>
    <w:p w:rsidR="00B90EE1" w:rsidRDefault="003A231F">
      <w:pPr>
        <w:pStyle w:val="ManualHeading1"/>
        <w:rPr>
          <w:noProof/>
        </w:rPr>
      </w:pPr>
      <w:r>
        <w:rPr>
          <w:noProof/>
        </w:rPr>
        <w:t>3.</w:t>
      </w:r>
      <w:r>
        <w:rPr>
          <w:noProof/>
        </w:rPr>
        <w:tab/>
        <w:t xml:space="preserve">VÝSLEDKY HODNOTENÍ </w:t>
      </w:r>
      <w:r>
        <w:rPr>
          <w:i/>
          <w:noProof/>
        </w:rPr>
        <w:t>EX POST</w:t>
      </w:r>
      <w:r>
        <w:rPr>
          <w:noProof/>
        </w:rPr>
        <w:t>, KONZULTÁCIÍ SO ZAINTERESOVANÝMI STRANAMI A POSÚDENÍ VPLYVU</w:t>
      </w:r>
    </w:p>
    <w:p w:rsidR="00B90EE1" w:rsidRDefault="003A231F">
      <w:pPr>
        <w:pStyle w:val="ManualHeading2"/>
        <w:rPr>
          <w:rFonts w:eastAsia="Arial Unicode MS"/>
          <w:noProof/>
          <w:u w:color="000000"/>
          <w:bdr w:val="nil"/>
        </w:rPr>
      </w:pPr>
      <w:r>
        <w:rPr>
          <w:noProof/>
        </w:rPr>
        <w:t>•</w:t>
      </w:r>
      <w:r>
        <w:rPr>
          <w:noProof/>
        </w:rPr>
        <w:tab/>
        <w:t xml:space="preserve">Hodnotenia </w:t>
      </w:r>
      <w:r>
        <w:rPr>
          <w:i/>
          <w:noProof/>
        </w:rPr>
        <w:t>ex post</w:t>
      </w:r>
      <w:r>
        <w:rPr>
          <w:noProof/>
        </w:rPr>
        <w:t>/kontroly vhodnosti existujúcich právnych predpisov</w:t>
      </w:r>
    </w:p>
    <w:p w:rsidR="00B90EE1" w:rsidRDefault="003A231F">
      <w:pPr>
        <w:pBdr>
          <w:top w:val="nil"/>
          <w:left w:val="nil"/>
          <w:bottom w:val="nil"/>
          <w:right w:val="nil"/>
          <w:between w:val="nil"/>
          <w:bar w:val="nil"/>
        </w:pBdr>
        <w:spacing w:before="0" w:after="240"/>
        <w:rPr>
          <w:rFonts w:eastAsia="Arial Unicode MS"/>
          <w:noProof/>
        </w:rPr>
      </w:pPr>
      <w:r>
        <w:rPr>
          <w:noProof/>
        </w:rPr>
        <w:t>Navrhované nariadenie je nová politická iniciatíva v oblasti priamych</w:t>
      </w:r>
      <w:r>
        <w:rPr>
          <w:noProof/>
        </w:rPr>
        <w:t xml:space="preserve"> zahraničných investícií patriacich do spoločnej obchodnej politiky súvisiaca s výlučnou právomocou, ktorá bola Únii zverená Lisabonskou zmluvou. Na úrovni EÚ zatiaľ nie sú platné právne predpisy týkajúce sa preverovania zahraničných investícií.</w:t>
      </w:r>
    </w:p>
    <w:p w:rsidR="00B90EE1" w:rsidRDefault="003A231F">
      <w:pPr>
        <w:pStyle w:val="ManualHeading2"/>
        <w:rPr>
          <w:rFonts w:eastAsia="Arial Unicode MS"/>
          <w:noProof/>
          <w:u w:color="000000"/>
          <w:bdr w:val="nil"/>
        </w:rPr>
      </w:pPr>
      <w:r>
        <w:rPr>
          <w:noProof/>
        </w:rPr>
        <w:t>•</w:t>
      </w:r>
      <w:r>
        <w:rPr>
          <w:noProof/>
        </w:rPr>
        <w:tab/>
        <w:t>Konzultá</w:t>
      </w:r>
      <w:r>
        <w:rPr>
          <w:noProof/>
        </w:rPr>
        <w:t>cie so zainteresovanými stranami</w:t>
      </w:r>
    </w:p>
    <w:p w:rsidR="00B90EE1" w:rsidRDefault="003A231F">
      <w:pPr>
        <w:pBdr>
          <w:top w:val="nil"/>
          <w:left w:val="nil"/>
          <w:bottom w:val="nil"/>
          <w:right w:val="nil"/>
          <w:between w:val="nil"/>
          <w:bar w:val="nil"/>
        </w:pBdr>
        <w:spacing w:before="0" w:after="240"/>
        <w:rPr>
          <w:noProof/>
        </w:rPr>
      </w:pPr>
      <w:r>
        <w:rPr>
          <w:noProof/>
        </w:rPr>
        <w:t xml:space="preserve">Vzhľadom na vecnú pôsobnosť tohto návrhu nariadenia Komisie a predovšetkým na jeho ciel, ktorý spočíva okrem iného v celoúnijnej koordinácii preverovania priamych zahraničných </w:t>
      </w:r>
      <w:r>
        <w:rPr>
          <w:noProof/>
        </w:rPr>
        <w:lastRenderedPageBreak/>
        <w:t>investícií smerujúcich do Európskej únie z hľad</w:t>
      </w:r>
      <w:r>
        <w:rPr>
          <w:noProof/>
        </w:rPr>
        <w:t>iska bezpečnosti alebo verejného poriadku, Komisia uskutočnila konzultácie s členskými štátmi, ktoré sa aktívne usilovali o opatrenie EÚ v tejto oblasti politiky, a takisto s niekoľkými ďalšími členskými štátmi, bez ohľadu na to, či majú alebo nemajú zaved</w:t>
      </w:r>
      <w:r>
        <w:rPr>
          <w:noProof/>
        </w:rPr>
        <w:t>ený vnútroštátny mechanizmus preverovania investícií.</w:t>
      </w:r>
    </w:p>
    <w:p w:rsidR="00B90EE1" w:rsidRDefault="003A231F">
      <w:pPr>
        <w:pStyle w:val="ManualHeading2"/>
        <w:rPr>
          <w:rFonts w:eastAsia="Arial Unicode MS"/>
          <w:noProof/>
          <w:u w:color="000000"/>
          <w:bdr w:val="nil"/>
        </w:rPr>
      </w:pPr>
      <w:r>
        <w:rPr>
          <w:noProof/>
        </w:rPr>
        <w:t>•</w:t>
      </w:r>
      <w:r>
        <w:rPr>
          <w:noProof/>
        </w:rPr>
        <w:tab/>
        <w:t>Získavanie a využívanie expertízy</w:t>
      </w:r>
    </w:p>
    <w:p w:rsidR="00B90EE1" w:rsidRDefault="003A231F">
      <w:pPr>
        <w:pBdr>
          <w:top w:val="nil"/>
          <w:left w:val="nil"/>
          <w:bottom w:val="nil"/>
          <w:right w:val="nil"/>
          <w:between w:val="nil"/>
          <w:bar w:val="nil"/>
        </w:pBdr>
        <w:spacing w:before="0" w:after="240"/>
        <w:rPr>
          <w:noProof/>
        </w:rPr>
      </w:pPr>
      <w:r>
        <w:rPr>
          <w:noProof/>
        </w:rPr>
        <w:t xml:space="preserve">Komisia pri vypracúvaní svojho návrhu nariadenia využila v prvom rade expertízu a skúsenosti členských štátov, ktoré majú zavedené mechanizmy preverovania investícií </w:t>
      </w:r>
      <w:r>
        <w:rPr>
          <w:noProof/>
        </w:rPr>
        <w:t>a využívajú ich. V návrhu sa zohľadňuje aj skúsenosť tretích krajín s preverovaním priamych zahraničných investícií. Komisia sa v tejto súvislosti opierala o informácie, ktoré jej sprístupnili jej hlavní obchodní partneri v priebehu neformálnych konzultáci</w:t>
      </w:r>
      <w:r>
        <w:rPr>
          <w:noProof/>
        </w:rPr>
        <w:t>í alebo ktoré získala pri obchodných rokovaniach, ako aj o informácie vo všeobecnosti dostupné verejnosti.</w:t>
      </w:r>
    </w:p>
    <w:p w:rsidR="00B90EE1" w:rsidRDefault="003A231F">
      <w:pPr>
        <w:pBdr>
          <w:top w:val="nil"/>
          <w:left w:val="nil"/>
          <w:bottom w:val="nil"/>
          <w:right w:val="nil"/>
          <w:between w:val="nil"/>
          <w:bar w:val="nil"/>
        </w:pBdr>
        <w:spacing w:before="0" w:after="240"/>
        <w:rPr>
          <w:noProof/>
        </w:rPr>
      </w:pPr>
      <w:r>
        <w:rPr>
          <w:noProof/>
        </w:rPr>
        <w:t>Komisia sa pri vypracúvaní návrhu uistila, že je v súlade s najlepšími postupmi OECD zakotvenými v usmerneniach pre investičné politiky prijímajúcich</w:t>
      </w:r>
      <w:r>
        <w:rPr>
          <w:noProof/>
        </w:rPr>
        <w:t xml:space="preserve"> krajín týkajúcich sa národnej bezpečnosti (</w:t>
      </w:r>
      <w:r>
        <w:rPr>
          <w:i/>
          <w:noProof/>
        </w:rPr>
        <w:t>Guidelines for Recipient Country Investment Policies Relating to National Security</w:t>
      </w:r>
      <w:r>
        <w:rPr>
          <w:noProof/>
        </w:rPr>
        <w:t>).</w:t>
      </w:r>
    </w:p>
    <w:p w:rsidR="00B90EE1" w:rsidRDefault="003A231F">
      <w:pPr>
        <w:pStyle w:val="ManualHeading2"/>
        <w:rPr>
          <w:rFonts w:eastAsia="Arial Unicode MS"/>
          <w:noProof/>
          <w:u w:color="000000"/>
          <w:bdr w:val="nil"/>
        </w:rPr>
      </w:pPr>
      <w:r>
        <w:rPr>
          <w:noProof/>
        </w:rPr>
        <w:t>•</w:t>
      </w:r>
      <w:r>
        <w:rPr>
          <w:noProof/>
        </w:rPr>
        <w:tab/>
        <w:t>Posúdenie vplyvu</w:t>
      </w:r>
    </w:p>
    <w:p w:rsidR="00B90EE1" w:rsidRDefault="003A231F">
      <w:pPr>
        <w:spacing w:before="0" w:after="240"/>
        <w:rPr>
          <w:noProof/>
        </w:rPr>
      </w:pPr>
      <w:r>
        <w:rPr>
          <w:noProof/>
        </w:rPr>
        <w:t>Únia je jedným z hospodárstiev, ktoré sú najviac otvorené prichádzajúcim priamym zahraničným investíciám. Pr</w:t>
      </w:r>
      <w:r>
        <w:rPr>
          <w:noProof/>
        </w:rPr>
        <w:t>ílev investícií do EÚ sa sústavne zväčšuje. Čoraz viac sa zameriavajú na konkrétne odvetvia, na podniky, ktoré sú nadpriemerne veľké, a v čoraz väčšej miere pochádzajú od štátom vlastnených podnikov alebo investorov so silnými väzbami na vlády. Zoči-voči t</w:t>
      </w:r>
      <w:r>
        <w:rPr>
          <w:noProof/>
        </w:rPr>
        <w:t>ejto skutočnosti sa od roku 2016 celosvetovo zintenzívňujú obmedzenia priamych zahraničných investícií.</w:t>
      </w:r>
    </w:p>
    <w:p w:rsidR="00B90EE1" w:rsidRDefault="003A231F">
      <w:pPr>
        <w:tabs>
          <w:tab w:val="left" w:pos="8064"/>
        </w:tabs>
        <w:spacing w:before="0" w:after="100" w:afterAutospacing="1"/>
        <w:rPr>
          <w:noProof/>
        </w:rPr>
      </w:pPr>
      <w:r>
        <w:rPr>
          <w:noProof/>
        </w:rPr>
        <w:t>Do série prevzatí európskych spoločností, ku ktorým došlo prednedávnom, boli zapojení zahraniční investori so silnými väzbami na vlády ich domovských kr</w:t>
      </w:r>
      <w:r>
        <w:rPr>
          <w:noProof/>
        </w:rPr>
        <w:t>ajín, pričom ich stratégiou je sústrediť sa na kúpu európskych spoločností, ktoré vyvíjajú technológie alebo udržiavajú infraštruktúry, ktoré sú nevyhnutné na vykonávanie základných funkcií spoločnosti a hospodárstva. Rizikom v konečnom dôsledku je, že tak</w:t>
      </w:r>
      <w:r>
        <w:rPr>
          <w:noProof/>
        </w:rPr>
        <w:t>éto investície by mohli byť škodlivé pre bezpečnosť a verejný poriadok Únie a jej členských štátov. Kombinácia takéhoto vývoja vyvolala obavy európskych občanov, spoločností a členských štátov. Treba dôkladne zanalyzovať tieto obavy a primerane na ne reago</w:t>
      </w:r>
      <w:r>
        <w:rPr>
          <w:noProof/>
        </w:rPr>
        <w:t>vať, ako sa oznámilo v Diskusnom dokumente Komisie o využívaní globalizácie vydanom 10. mája 2017.</w:t>
      </w:r>
    </w:p>
    <w:p w:rsidR="00B90EE1" w:rsidRDefault="003A231F">
      <w:pPr>
        <w:spacing w:before="0" w:after="100" w:afterAutospacing="1"/>
        <w:rPr>
          <w:noProof/>
          <w:szCs w:val="24"/>
        </w:rPr>
      </w:pPr>
      <w:r>
        <w:rPr>
          <w:noProof/>
        </w:rPr>
        <w:t>Vzhľadom na rýchlo sa meniacu ekonomickú realitu a narastajúce obavy občanov a členských štátov sa tento návrh výnimočne predkladá bez sprievodného posúdenia</w:t>
      </w:r>
      <w:r>
        <w:rPr>
          <w:noProof/>
        </w:rPr>
        <w:t xml:space="preserve"> vplyvu. Návrh sa zameriava konkrétne a primeraným spôsobom na hlavné otázky identifikované v tejto etape. Ďalšie prvky sa podrobnejšie posúdia v štúdii oznámenej v sprievodnom oznámení k tomuto nariadeniu. Návrh nariadenia Komisie zatiaľ dopĺňa pracovný d</w:t>
      </w:r>
      <w:r>
        <w:rPr>
          <w:noProof/>
        </w:rPr>
        <w:t>okument útvarov Komisie, v ktorom sa uvádza faktografický opis prevzatí zahraničnými subjektmi v EÚ na základe dostupných údajov, ako aj stručný rozbor predmetného problému.</w:t>
      </w:r>
    </w:p>
    <w:p w:rsidR="00B90EE1" w:rsidRDefault="003A231F">
      <w:pPr>
        <w:spacing w:before="0" w:after="100" w:afterAutospacing="1"/>
        <w:rPr>
          <w:rFonts w:eastAsia="Arial Unicode MS"/>
          <w:noProof/>
        </w:rPr>
      </w:pPr>
      <w:r>
        <w:rPr>
          <w:noProof/>
        </w:rPr>
        <w:t>V sprievodnom oznámení Komisie k tomuto návrhu nariadenia sa oznamuje, že sa vypra</w:t>
      </w:r>
      <w:r>
        <w:rPr>
          <w:noProof/>
        </w:rPr>
        <w:t xml:space="preserve">cuje hĺbková analýza investičných tokov prúdiacich do EÚ, a to predovšetkým tých smerujúcich do strategických sektorov alebo aktív, ktoré môžu vzbudiť obavy týkajúce sa bezpečnosti alebo verejného poriadku. Súčasťou tejto analýzy bude zber údajov, analýza </w:t>
      </w:r>
      <w:r>
        <w:rPr>
          <w:noProof/>
        </w:rPr>
        <w:t>trendov a posúdenie vplyvu, a to aj prostredníctvom prípadových štúdií. Jej výsledky sa zohľadnia v procese rozhodovania.</w:t>
      </w:r>
    </w:p>
    <w:p w:rsidR="00B90EE1" w:rsidRDefault="003A231F">
      <w:pPr>
        <w:pStyle w:val="ManualHeading2"/>
        <w:rPr>
          <w:rFonts w:eastAsia="Arial Unicode MS"/>
          <w:noProof/>
          <w:u w:color="000000"/>
          <w:bdr w:val="nil"/>
        </w:rPr>
      </w:pPr>
      <w:r>
        <w:rPr>
          <w:noProof/>
        </w:rPr>
        <w:lastRenderedPageBreak/>
        <w:t>•</w:t>
      </w:r>
      <w:r>
        <w:rPr>
          <w:noProof/>
        </w:rPr>
        <w:tab/>
        <w:t>Regulačná vhodnosť a zjednodušenie</w:t>
      </w:r>
    </w:p>
    <w:p w:rsidR="00B90EE1" w:rsidRDefault="003A231F">
      <w:pPr>
        <w:pBdr>
          <w:top w:val="nil"/>
          <w:left w:val="nil"/>
          <w:bottom w:val="nil"/>
          <w:right w:val="nil"/>
          <w:between w:val="nil"/>
          <w:bar w:val="nil"/>
        </w:pBdr>
        <w:spacing w:before="0" w:after="240"/>
        <w:rPr>
          <w:rFonts w:eastAsia="Arial Unicode MS"/>
          <w:noProof/>
        </w:rPr>
      </w:pPr>
      <w:r>
        <w:rPr>
          <w:noProof/>
        </w:rPr>
        <w:t xml:space="preserve">Navrhovaným nariadením sa zavádzajú prostriedky, pomocou ktorých si členské štáty a Komisia môžu </w:t>
      </w:r>
      <w:r>
        <w:rPr>
          <w:noProof/>
        </w:rPr>
        <w:t>vyžiadať informácie na účely preverenia priamych zahraničných investícií vzbudzujúcich obavy z hľadiska bezpečnosti alebo verejného poriadku. Povinnosti poskytovať informácie sú navrhnuté tak, aby sa minimalizovalo bremeno kladené na členské štáty, investo</w:t>
      </w:r>
      <w:r>
        <w:rPr>
          <w:noProof/>
        </w:rPr>
        <w:t>rov a spoločnosti z EÚ, keďže sa od nich nevyžaduje, aby tieto informácie poskytovali automaticky a vopred, ale len na požiadanie. Keď sa v navrhovanom nariadení predpokladá možnosť, aby členské štáty predkladali pripomienky alebo aby Komisia vydala stanov</w:t>
      </w:r>
      <w:r>
        <w:rPr>
          <w:noProof/>
        </w:rPr>
        <w:t>isko, sú zakaždým určené veľmi prísne lehoty s cieľom minimalizovať záťaž kladenú na členské štáty, ktoré využívajú mechanizmy preverovania, a v konečnom dôsledku na preverovaných investorov.</w:t>
      </w:r>
    </w:p>
    <w:p w:rsidR="00B90EE1" w:rsidRDefault="003A231F">
      <w:pPr>
        <w:pStyle w:val="ManualHeading2"/>
        <w:rPr>
          <w:rFonts w:eastAsia="Arial Unicode MS"/>
          <w:noProof/>
          <w:u w:color="000000"/>
          <w:bdr w:val="nil"/>
        </w:rPr>
      </w:pPr>
      <w:r>
        <w:rPr>
          <w:noProof/>
        </w:rPr>
        <w:t>•</w:t>
      </w:r>
      <w:r>
        <w:rPr>
          <w:noProof/>
        </w:rPr>
        <w:tab/>
        <w:t>Základné práva</w:t>
      </w:r>
    </w:p>
    <w:p w:rsidR="00B90EE1" w:rsidRDefault="003A231F">
      <w:pPr>
        <w:pBdr>
          <w:top w:val="nil"/>
          <w:left w:val="nil"/>
          <w:bottom w:val="nil"/>
          <w:right w:val="nil"/>
          <w:between w:val="nil"/>
          <w:bar w:val="nil"/>
        </w:pBdr>
        <w:spacing w:before="0" w:after="240"/>
        <w:rPr>
          <w:noProof/>
        </w:rPr>
      </w:pPr>
      <w:r>
        <w:rPr>
          <w:noProof/>
        </w:rPr>
        <w:t xml:space="preserve">Toto navrhované nariadenie nebude mať vplyv na </w:t>
      </w:r>
      <w:r>
        <w:rPr>
          <w:noProof/>
        </w:rPr>
        <w:t>ochranu základných práv.</w:t>
      </w:r>
    </w:p>
    <w:p w:rsidR="00B90EE1" w:rsidRDefault="003A231F">
      <w:pPr>
        <w:pStyle w:val="ManualHeading1"/>
        <w:rPr>
          <w:noProof/>
        </w:rPr>
      </w:pPr>
      <w:r>
        <w:rPr>
          <w:noProof/>
        </w:rPr>
        <w:t>4.</w:t>
      </w:r>
      <w:r>
        <w:rPr>
          <w:noProof/>
        </w:rPr>
        <w:tab/>
        <w:t>VPLYV NA ROZPOČET</w:t>
      </w:r>
    </w:p>
    <w:p w:rsidR="00B90EE1" w:rsidRDefault="003A231F">
      <w:pPr>
        <w:rPr>
          <w:noProof/>
        </w:rPr>
      </w:pPr>
      <w:r>
        <w:rPr>
          <w:noProof/>
        </w:rPr>
        <w:t>Okrem administratívnych nákladov návrh nemá žiadny iný vplyv na rozpočet (pozri finančný výkaz pripojený k tomuto návrhu).</w:t>
      </w:r>
    </w:p>
    <w:p w:rsidR="00B90EE1" w:rsidRDefault="003A231F">
      <w:pPr>
        <w:pStyle w:val="ManualHeading1"/>
        <w:rPr>
          <w:noProof/>
        </w:rPr>
      </w:pPr>
      <w:r>
        <w:rPr>
          <w:noProof/>
        </w:rPr>
        <w:t>5.</w:t>
      </w:r>
      <w:r>
        <w:rPr>
          <w:noProof/>
        </w:rPr>
        <w:tab/>
        <w:t>ĎALŠIE PRVKY</w:t>
      </w:r>
    </w:p>
    <w:p w:rsidR="00B90EE1" w:rsidRDefault="003A231F">
      <w:pPr>
        <w:pStyle w:val="ManualHeading2"/>
        <w:rPr>
          <w:rFonts w:eastAsia="Arial Unicode MS"/>
          <w:noProof/>
          <w:u w:color="000000"/>
          <w:bdr w:val="nil"/>
        </w:rPr>
      </w:pPr>
      <w:r>
        <w:rPr>
          <w:noProof/>
        </w:rPr>
        <w:t>•</w:t>
      </w:r>
      <w:r>
        <w:rPr>
          <w:noProof/>
        </w:rPr>
        <w:tab/>
        <w:t>Plány vykonávania, spôsob monitorovania, hodnotenia a podávania správ</w:t>
      </w:r>
    </w:p>
    <w:p w:rsidR="00B90EE1" w:rsidRDefault="003A231F">
      <w:pPr>
        <w:pBdr>
          <w:top w:val="nil"/>
          <w:left w:val="nil"/>
          <w:bottom w:val="nil"/>
          <w:right w:val="nil"/>
          <w:between w:val="nil"/>
          <w:bar w:val="nil"/>
        </w:pBdr>
        <w:spacing w:before="0" w:after="240"/>
        <w:rPr>
          <w:noProof/>
        </w:rPr>
      </w:pPr>
      <w:r>
        <w:rPr>
          <w:noProof/>
        </w:rPr>
        <w:t>Vykonávanie sa bude monitorovať v spolupráci s členskými štátmi tak, aby sa zabezpečilo, že príslušné orgány vykonajú požiadavky navrhovaného nariadenia účinne a konzistentne. V návrhu sa na tieto účely požaduje, aby členské štáty zriadili kontaktné miest</w:t>
      </w:r>
      <w:r>
        <w:rPr>
          <w:noProof/>
        </w:rPr>
        <w:t>a, a v sprievodnom oznámení sa uvádza zostavenie koordinačnej skupiny zo zástupcov členských štátov, ktorá sa bude pravidelne stretávať, aby posúdila okrem iného všetky otázky týkajúce sa vykonávania nariadenia.</w:t>
      </w:r>
    </w:p>
    <w:p w:rsidR="00B90EE1" w:rsidRDefault="003A231F">
      <w:pPr>
        <w:pBdr>
          <w:top w:val="nil"/>
          <w:left w:val="nil"/>
          <w:bottom w:val="nil"/>
          <w:right w:val="nil"/>
          <w:between w:val="nil"/>
          <w:bar w:val="nil"/>
        </w:pBdr>
        <w:spacing w:before="0" w:after="240"/>
        <w:rPr>
          <w:noProof/>
        </w:rPr>
      </w:pPr>
      <w:r>
        <w:rPr>
          <w:noProof/>
        </w:rPr>
        <w:t>Komisia sa podujme na hodnotenie tohto naria</w:t>
      </w:r>
      <w:r>
        <w:rPr>
          <w:noProof/>
        </w:rPr>
        <w:t>denia najneskôr tri roky po tom, ako nadobudne účinnosť, s cieľom posúdiť jeho skutočné vplyvy a zhodnotiť jeho účinnosť, efektívnosť a tiež to, do akej miery sú výsledky v súlade s cieľmi. Komisia oznámi výsledky tohto hodnotenia Európskemu parlamentu a R</w:t>
      </w:r>
      <w:r>
        <w:rPr>
          <w:noProof/>
        </w:rPr>
        <w:t>ade.</w:t>
      </w:r>
    </w:p>
    <w:p w:rsidR="00B90EE1" w:rsidRDefault="003A231F">
      <w:pPr>
        <w:pStyle w:val="ManualHeading2"/>
        <w:rPr>
          <w:rFonts w:eastAsia="Arial Unicode MS"/>
          <w:noProof/>
          <w:u w:color="000000"/>
          <w:bdr w:val="nil"/>
        </w:rPr>
      </w:pPr>
      <w:r>
        <w:rPr>
          <w:noProof/>
        </w:rPr>
        <w:t>•</w:t>
      </w:r>
      <w:r>
        <w:rPr>
          <w:noProof/>
        </w:rPr>
        <w:tab/>
        <w:t>Vysvetľujúce dokumenty (v prípade smerníc)</w:t>
      </w:r>
    </w:p>
    <w:p w:rsidR="00B90EE1" w:rsidRDefault="003A231F">
      <w:pPr>
        <w:pBdr>
          <w:top w:val="nil"/>
          <w:left w:val="nil"/>
          <w:bottom w:val="nil"/>
          <w:right w:val="nil"/>
          <w:between w:val="nil"/>
          <w:bar w:val="nil"/>
        </w:pBdr>
        <w:spacing w:before="0" w:after="240"/>
        <w:rPr>
          <w:rFonts w:eastAsia="Arial Unicode MS"/>
          <w:noProof/>
        </w:rPr>
      </w:pPr>
      <w:r>
        <w:rPr>
          <w:noProof/>
        </w:rPr>
        <w:t>Neuplatňuje sa.</w:t>
      </w:r>
    </w:p>
    <w:p w:rsidR="00B90EE1" w:rsidRDefault="003A231F">
      <w:pPr>
        <w:pStyle w:val="ManualHeading2"/>
        <w:spacing w:before="0" w:after="240"/>
        <w:rPr>
          <w:rFonts w:eastAsia="Arial Unicode MS"/>
          <w:noProof/>
          <w:u w:color="000000"/>
          <w:bdr w:val="nil"/>
        </w:rPr>
      </w:pPr>
      <w:r>
        <w:rPr>
          <w:noProof/>
        </w:rPr>
        <w:t>•</w:t>
      </w:r>
      <w:r>
        <w:rPr>
          <w:noProof/>
        </w:rPr>
        <w:tab/>
        <w:t>Podrobné vysvetlenie konkrétnych ustanovení návrhu</w:t>
      </w:r>
    </w:p>
    <w:p w:rsidR="00B90EE1" w:rsidRDefault="003A231F">
      <w:pPr>
        <w:spacing w:before="0" w:after="240"/>
        <w:rPr>
          <w:b/>
          <w:bCs/>
          <w:noProof/>
        </w:rPr>
      </w:pPr>
      <w:r>
        <w:rPr>
          <w:b/>
          <w:noProof/>
        </w:rPr>
        <w:t>Predmet úpravy, rozsah pôsobnosti a vymedzenie pojmov (články 1 a 2)</w:t>
      </w:r>
    </w:p>
    <w:p w:rsidR="00B90EE1" w:rsidRDefault="003A231F">
      <w:pPr>
        <w:spacing w:before="0" w:after="240"/>
        <w:rPr>
          <w:noProof/>
        </w:rPr>
      </w:pPr>
      <w:r>
        <w:rPr>
          <w:noProof/>
        </w:rPr>
        <w:t xml:space="preserve">Cieľom tohto nariadenia je zriadiť komplexný podporný rámec na </w:t>
      </w:r>
      <w:r>
        <w:rPr>
          <w:noProof/>
        </w:rPr>
        <w:t>preverovanie priamych zahraničných investícií v Únii. V článku 1 sa potvrdzuje, že členské štáty a Komisia môžu preverovať priame zahraničné investície z hľadiska bezpečnosti a verejného poriadku. Dôvody na preverovanie investícií sú vymedzené v súlade s p</w:t>
      </w:r>
      <w:r>
        <w:rPr>
          <w:noProof/>
        </w:rPr>
        <w:t>ríslušnými požiadavkami týkajúcimi sa ukladania reštriktívnych opatrení založených na dôvodoch bezpečnosti a verejného poriadku, ktoré sa uvádzajú v Dohode o založení WTO [konkrétne aj v článku XIV písm. a) a článku XIVa Všeobecnej dohody o obchode so služ</w:t>
      </w:r>
      <w:r>
        <w:rPr>
          <w:noProof/>
        </w:rPr>
        <w:t>bami] a v iných obchodných a investičných dohodách alebo dojednaniach, ktorých sú Únia alebo jej členské štáty zmluvnými stranami.</w:t>
      </w:r>
    </w:p>
    <w:p w:rsidR="00B90EE1" w:rsidRDefault="003A231F">
      <w:pPr>
        <w:spacing w:before="0" w:after="240"/>
        <w:rPr>
          <w:noProof/>
        </w:rPr>
      </w:pPr>
      <w:r>
        <w:rPr>
          <w:noProof/>
        </w:rPr>
        <w:lastRenderedPageBreak/>
        <w:t>V článku 2 sa vymedzuje niekoľko pojmov uplatniteľných na účely tohto nariadenia. Predovšetkým sa v ňom objasňuje, že pojem p</w:t>
      </w:r>
      <w:r>
        <w:rPr>
          <w:noProof/>
        </w:rPr>
        <w:t>riama zahraničná investícia sa vzťahuje na široké spektrum investícií, ktorými vznikajú alebo sa udržiavajú trvácne a priame väzby medzi investormi z tretích krajín a podnikmi vykonávajúcimi hospodársku činnosť v členských štátoch. Nevzťahuje sa na portfól</w:t>
      </w:r>
      <w:r>
        <w:rPr>
          <w:noProof/>
        </w:rPr>
        <w:t>iové investície.</w:t>
      </w:r>
    </w:p>
    <w:p w:rsidR="00B90EE1" w:rsidRDefault="003A231F">
      <w:pPr>
        <w:pBdr>
          <w:top w:val="nil"/>
          <w:left w:val="nil"/>
          <w:bottom w:val="nil"/>
          <w:right w:val="nil"/>
          <w:between w:val="nil"/>
          <w:bar w:val="nil"/>
        </w:pBdr>
        <w:spacing w:before="0" w:after="240"/>
        <w:rPr>
          <w:b/>
          <w:noProof/>
        </w:rPr>
      </w:pPr>
      <w:r>
        <w:rPr>
          <w:b/>
          <w:noProof/>
        </w:rPr>
        <w:t>Rámec Únie na preverovanie investícií (články 3 a 4)</w:t>
      </w:r>
    </w:p>
    <w:p w:rsidR="00B90EE1" w:rsidRDefault="003A231F">
      <w:pPr>
        <w:pBdr>
          <w:top w:val="nil"/>
          <w:left w:val="nil"/>
          <w:bottom w:val="nil"/>
          <w:right w:val="nil"/>
          <w:between w:val="nil"/>
          <w:bar w:val="nil"/>
        </w:pBdr>
        <w:spacing w:before="0" w:after="240"/>
        <w:rPr>
          <w:noProof/>
        </w:rPr>
      </w:pPr>
      <w:r>
        <w:rPr>
          <w:noProof/>
        </w:rPr>
        <w:t>Viaceré členské štáty majú zavedené vnútroštátne mechanizmy, na základe ktorých možno okrem iného obmedziť pohyb kapitálu medzi členskými štátmi a tretími krajinami z dôvodu verejného po</w:t>
      </w:r>
      <w:r>
        <w:rPr>
          <w:noProof/>
        </w:rPr>
        <w:t>riadku alebo verejnej bezpečnosti. Priame zahraničné investície zároveň patria pod spoločnú obchodnú politiku, pričom v súlade s článkom 3 ods. 1 písm. e) ZFEÚ má výlučnú právomoc v oblasti spoločnej obchodnej politiky Únia. V snahe poskytnúť právnu istotu</w:t>
      </w:r>
      <w:r>
        <w:rPr>
          <w:noProof/>
        </w:rPr>
        <w:t xml:space="preserve"> sa v článku 3 ods. 1 potvrdzuje, že členské štáty môžu so zreteľom na svoje vnútroštátne okolnosti a v súlade s navrhovaným nariadením naďalej zachovávať a meniť existujúce opatrenia alebo prijímať nové opatrenia na účely preverovania investícií z hľadisk</w:t>
      </w:r>
      <w:r>
        <w:rPr>
          <w:noProof/>
        </w:rPr>
        <w:t>a bezpečnosti alebo verejného poriadku.</w:t>
      </w:r>
    </w:p>
    <w:p w:rsidR="00B90EE1" w:rsidRDefault="003A231F">
      <w:pPr>
        <w:pBdr>
          <w:top w:val="nil"/>
          <w:left w:val="nil"/>
          <w:bottom w:val="nil"/>
          <w:right w:val="nil"/>
          <w:between w:val="nil"/>
          <w:bar w:val="nil"/>
        </w:pBdr>
        <w:spacing w:before="0" w:after="240"/>
        <w:rPr>
          <w:noProof/>
        </w:rPr>
      </w:pPr>
      <w:r>
        <w:rPr>
          <w:noProof/>
        </w:rPr>
        <w:t xml:space="preserve">Komisia by navyše mala mať možnosť preverovať priame zahraničné investície, ktoré môžu mať vplyv na projekty alebo programy v záujme Únie, z hľadiska bezpečnosti alebo verejného poriadku, čo sa stanovuje v článku 3 </w:t>
      </w:r>
      <w:r>
        <w:rPr>
          <w:noProof/>
        </w:rPr>
        <w:t>ods. 2. Projekty a programy v záujme Únie slúžia Únii ako celku a sú významným prínosom k hospodárskemu rastu, tvorbe pracovných miest a konkurencieschopnosti hospodárstva a priemyslu Únie. Projekty a programy v záujme Únie sa môžu vyznačovať buď tým, že s</w:t>
      </w:r>
      <w:r>
        <w:rPr>
          <w:noProof/>
        </w:rPr>
        <w:t>ú do veľkej miery financované z EÚ alebo tým, že sú zavedené právnymi predpismi Únie týkajúcimi sa kritickej infraštruktúry, kritických technológií či kritických vstupov. V záujme zabezpečenia transparentnosti sa v prílohe 1 uvádza orientačný zoznam projek</w:t>
      </w:r>
      <w:r>
        <w:rPr>
          <w:noProof/>
        </w:rPr>
        <w:t>tov a programov v záujme Únie.</w:t>
      </w:r>
    </w:p>
    <w:p w:rsidR="00B90EE1" w:rsidRDefault="003A231F">
      <w:pPr>
        <w:pBdr>
          <w:top w:val="nil"/>
          <w:left w:val="nil"/>
          <w:bottom w:val="nil"/>
          <w:right w:val="nil"/>
          <w:between w:val="nil"/>
          <w:bar w:val="nil"/>
        </w:pBdr>
        <w:spacing w:before="0" w:after="240"/>
        <w:rPr>
          <w:b/>
          <w:noProof/>
        </w:rPr>
      </w:pPr>
      <w:r>
        <w:rPr>
          <w:noProof/>
        </w:rPr>
        <w:t xml:space="preserve">S cieľom usmerniť členské štáty a Komisiu pri uplatňovaní nariadenia sa v článku 4 uvádza informatívny zoznam faktorov, ktoré možno zvážiť pri preverovaní priamej zahraničnej investície z hľadiska bezpečnosti alebo verejného </w:t>
      </w:r>
      <w:r>
        <w:rPr>
          <w:noProof/>
        </w:rPr>
        <w:t>poriadku. Účelom tohto zoznamu faktorov je zároveň poskytnúť ozrejmenie pre investorov, ktorí v Únii realizujú alebo zrealizovali priame zahraničné investície. Pri určovaní toho, či priama zahraničná investícia môže mať vplyv na bezpečnosť alebo verejný po</w:t>
      </w:r>
      <w:r>
        <w:rPr>
          <w:noProof/>
        </w:rPr>
        <w:t>riadok, by mali členské štáty a Komisia zvážiť všetky príslušné faktory vrátane jej účinkov na kritickú infraštruktúru, technológie (aj dôležité podporné technológie) a vstupy, ktoré sú zásadné z hľadiska bezpečnosti alebo zachovania verejného poriadku. Čl</w:t>
      </w:r>
      <w:r>
        <w:rPr>
          <w:noProof/>
        </w:rPr>
        <w:t>enské štáty a Komisia by mali byť v tomto ohľade zároveň schopné zohľadniť, či je zahraničný investor priamo alebo nepriamo, a to aj prostredníctvom významného financovania, pod kontrolou vlády tretej krajiny.</w:t>
      </w:r>
    </w:p>
    <w:p w:rsidR="00B90EE1" w:rsidRDefault="003A231F">
      <w:pPr>
        <w:pBdr>
          <w:top w:val="nil"/>
          <w:left w:val="nil"/>
          <w:bottom w:val="nil"/>
          <w:right w:val="nil"/>
          <w:between w:val="nil"/>
          <w:bar w:val="nil"/>
        </w:pBdr>
        <w:spacing w:before="0" w:after="240"/>
        <w:rPr>
          <w:b/>
          <w:noProof/>
        </w:rPr>
      </w:pPr>
      <w:r>
        <w:rPr>
          <w:b/>
          <w:noProof/>
        </w:rPr>
        <w:t>Opatrenia proti obchádzaniu (článok 5)</w:t>
      </w:r>
    </w:p>
    <w:p w:rsidR="00B90EE1" w:rsidRDefault="003A231F">
      <w:pPr>
        <w:pBdr>
          <w:top w:val="nil"/>
          <w:left w:val="nil"/>
          <w:bottom w:val="nil"/>
          <w:right w:val="nil"/>
          <w:between w:val="nil"/>
          <w:bar w:val="nil"/>
        </w:pBdr>
        <w:spacing w:before="0" w:after="240"/>
        <w:rPr>
          <w:noProof/>
        </w:rPr>
      </w:pPr>
      <w:r>
        <w:rPr>
          <w:noProof/>
        </w:rPr>
        <w:t>Na zabe</w:t>
      </w:r>
      <w:r>
        <w:rPr>
          <w:noProof/>
        </w:rPr>
        <w:t>zpečenie účinnosti svojich mechanizmov preverovania a rozhodnutí o preverení by členské štáty mali byť schopné zachovať, meniť alebo prijímať opatrenia potrebné na zabránenie ich obchádzaniu. K takýmto opatreniam by mohlo patriť preverovanie priamych inves</w:t>
      </w:r>
      <w:r>
        <w:rPr>
          <w:noProof/>
        </w:rPr>
        <w:t xml:space="preserve">tícií v súlade s právom Únie, ktoré uskutočňuje podnik zriadený v súlade s právom členského štátu a vo vlastníctve alebo pod kontrolou zahraničného investora, keď sa investícia realizuje prostredníctvom umelej dohody v rámci EÚ, ktorá neodráža hospodársku </w:t>
      </w:r>
      <w:r>
        <w:rPr>
          <w:noProof/>
        </w:rPr>
        <w:t>realitu a obchádza mechanizmy preverovania. Nemali by sa však dotknúť základných slobôd stanovených v ZFEÚ.</w:t>
      </w:r>
    </w:p>
    <w:p w:rsidR="00B90EE1" w:rsidRDefault="003A231F">
      <w:pPr>
        <w:pBdr>
          <w:top w:val="nil"/>
          <w:left w:val="nil"/>
          <w:bottom w:val="nil"/>
          <w:right w:val="nil"/>
          <w:between w:val="nil"/>
          <w:bar w:val="nil"/>
        </w:pBdr>
        <w:spacing w:before="0" w:after="240"/>
        <w:rPr>
          <w:b/>
          <w:noProof/>
        </w:rPr>
      </w:pPr>
      <w:r>
        <w:rPr>
          <w:b/>
          <w:noProof/>
        </w:rPr>
        <w:lastRenderedPageBreak/>
        <w:t>Procesný rámec na preverovanie členskými štátmi (článok 6)</w:t>
      </w:r>
    </w:p>
    <w:p w:rsidR="00B90EE1" w:rsidRDefault="003A231F">
      <w:pPr>
        <w:pBdr>
          <w:top w:val="nil"/>
          <w:left w:val="nil"/>
          <w:bottom w:val="nil"/>
          <w:right w:val="nil"/>
          <w:between w:val="nil"/>
          <w:bar w:val="nil"/>
        </w:pBdr>
        <w:spacing w:before="0" w:after="240"/>
        <w:rPr>
          <w:noProof/>
        </w:rPr>
      </w:pPr>
      <w:r>
        <w:rPr>
          <w:noProof/>
        </w:rPr>
        <w:t>V článku 6 sa ustanovujú základné prvky procesného rámca na preverovanie priamych zahrani</w:t>
      </w:r>
      <w:r>
        <w:rPr>
          <w:noProof/>
        </w:rPr>
        <w:t>čných investícií členskými štátmi. Komisia a iné členské štáty budú môcť vďaka takémuto procesnému rámcu lepšie porozumieť tomu, ako by sa investície mali preverovať, a zabezpečiť transparentnosť preverovania daných investícií a nediskriminačný prístup k j</w:t>
      </w:r>
      <w:r>
        <w:rPr>
          <w:noProof/>
        </w:rPr>
        <w:t>ednotlivým tretím krajinám. Uvedené prvky zahŕňajú predovšetkým stanovenie lehôt na preverovanie, ktoré musia zohľadňovať časové rozvrhy na preverovanie na úrovni EÚ. V procesnom rámci pre mechanizmy preverovania členských štátov by sa mala stanovovať aj m</w:t>
      </w:r>
      <w:r>
        <w:rPr>
          <w:noProof/>
        </w:rPr>
        <w:t>ožnosť, aby si investori uplatňovali nárok na súdnu nápravu rozhodnutí o preverení.</w:t>
      </w:r>
    </w:p>
    <w:p w:rsidR="00B90EE1" w:rsidRDefault="003A231F">
      <w:pPr>
        <w:pBdr>
          <w:top w:val="nil"/>
          <w:left w:val="nil"/>
          <w:bottom w:val="nil"/>
          <w:right w:val="nil"/>
          <w:between w:val="nil"/>
          <w:bar w:val="nil"/>
        </w:pBdr>
        <w:spacing w:before="0" w:after="240"/>
        <w:rPr>
          <w:b/>
          <w:noProof/>
        </w:rPr>
      </w:pPr>
      <w:r>
        <w:rPr>
          <w:b/>
          <w:noProof/>
        </w:rPr>
        <w:t>Mechanizmus spolupráce (článok 8)</w:t>
      </w:r>
    </w:p>
    <w:p w:rsidR="00B90EE1" w:rsidRDefault="003A231F">
      <w:pPr>
        <w:pBdr>
          <w:top w:val="nil"/>
          <w:left w:val="nil"/>
          <w:bottom w:val="nil"/>
          <w:right w:val="nil"/>
          <w:between w:val="nil"/>
          <w:bar w:val="nil"/>
        </w:pBdr>
        <w:spacing w:before="0" w:after="240"/>
        <w:rPr>
          <w:noProof/>
        </w:rPr>
      </w:pPr>
      <w:r>
        <w:rPr>
          <w:noProof/>
        </w:rPr>
        <w:t>V nariadení sa stanovuje mechanizmus, ktorý členským štátom umožňuje spolupracovať a navzájom si pomáhať, keď môže mať priama zahraničná i</w:t>
      </w:r>
      <w:r>
        <w:rPr>
          <w:noProof/>
        </w:rPr>
        <w:t>nvestícia vplyv na ich bezpečnosť alebo verejný poriadok. Potenciálne ovplyvnené členské štáty by mali mať možnosť predložiť pripomienky členským štátom, v ktorých sa investícia plánuje alebo sa zrealizovala, bez ohľadu na to, či niektorý z dotknutých člen</w:t>
      </w:r>
      <w:r>
        <w:rPr>
          <w:noProof/>
        </w:rPr>
        <w:t>ských štátov má zavedený mechanizmus preverovania alebo už danú investíciu preveruje. Táto spolupráca by mala členským štátom umožniť podľa možnosti vymieňať si informácie a koordinovať prípadné reakcie na danú priamu zahraničnú investíciu.</w:t>
      </w:r>
    </w:p>
    <w:p w:rsidR="00B90EE1" w:rsidRDefault="003A231F">
      <w:pPr>
        <w:pBdr>
          <w:top w:val="nil"/>
          <w:left w:val="nil"/>
          <w:bottom w:val="nil"/>
          <w:right w:val="nil"/>
          <w:between w:val="nil"/>
          <w:bar w:val="nil"/>
        </w:pBdr>
        <w:spacing w:before="0" w:after="240"/>
        <w:rPr>
          <w:noProof/>
        </w:rPr>
      </w:pPr>
      <w:r>
        <w:rPr>
          <w:noProof/>
        </w:rPr>
        <w:t xml:space="preserve">Členské štáty, </w:t>
      </w:r>
      <w:r>
        <w:rPr>
          <w:noProof/>
        </w:rPr>
        <w:t>ktoré preverujú priamu zahraničnú investíciu, by mali o prebiehajúcom preverovaní informovať ostatné členské štáty. Uvedené členské štáty by tak mohli dostať pripomienky od iných členských štátov v skorej etape a užitočne ich zohľadniť v procese preverovan</w:t>
      </w:r>
      <w:r>
        <w:rPr>
          <w:noProof/>
        </w:rPr>
        <w:t>ia. Iným členským štátom to navyše umožní zvážiť, či si súvisiaca priama zahraničná investícia, ktorá sa plánuje alebo sa zrealizovala aj na ich území, môže zasluhovať preverenie v rámci ich vlastného mechanizmu preverovania.</w:t>
      </w:r>
    </w:p>
    <w:p w:rsidR="00B90EE1" w:rsidRDefault="003A231F">
      <w:pPr>
        <w:pBdr>
          <w:top w:val="nil"/>
          <w:left w:val="nil"/>
          <w:bottom w:val="nil"/>
          <w:right w:val="nil"/>
          <w:between w:val="nil"/>
          <w:bar w:val="nil"/>
        </w:pBdr>
        <w:spacing w:before="0" w:after="240"/>
        <w:rPr>
          <w:noProof/>
        </w:rPr>
      </w:pPr>
      <w:r>
        <w:rPr>
          <w:noProof/>
        </w:rPr>
        <w:t>Preverujúci členský štát by ma</w:t>
      </w:r>
      <w:r>
        <w:rPr>
          <w:noProof/>
        </w:rPr>
        <w:t>l iným členským štátom umožniť, aby predložili pripomienky v primeranej lehote 25 pracovných dní. Preverujúce členské štáty by mali poskytnúť v rámci svojho mechanizmu preverovania dostatočne dlhý čas na náležité posúdenie pripomienok iných členských štáto</w:t>
      </w:r>
      <w:r>
        <w:rPr>
          <w:noProof/>
        </w:rPr>
        <w:t>v. Mali by si však ponechať konečné rozhodovacie právomoci, pokiaľ ide o priamu zahraničnú investíciu podliehajúcu preverovaniu.</w:t>
      </w:r>
    </w:p>
    <w:p w:rsidR="00B90EE1" w:rsidRDefault="003A231F">
      <w:pPr>
        <w:pBdr>
          <w:top w:val="nil"/>
          <w:left w:val="nil"/>
          <w:bottom w:val="nil"/>
          <w:right w:val="nil"/>
          <w:between w:val="nil"/>
          <w:bar w:val="nil"/>
        </w:pBdr>
        <w:spacing w:before="0" w:after="240"/>
        <w:rPr>
          <w:noProof/>
        </w:rPr>
      </w:pPr>
      <w:r>
        <w:rPr>
          <w:noProof/>
        </w:rPr>
        <w:t>Komisia by mala byť takisto informovaná o tom, že v rámci mechanizmu preverovania členského štátu prebieha preverovanie priamyc</w:t>
      </w:r>
      <w:r>
        <w:rPr>
          <w:noProof/>
        </w:rPr>
        <w:t>h zahraničných investícií z hľadiska bezpečnosti alebo verejného poriadku. Aj Komisia by mala mať možnosť v primeranej lehote predložiť pripomienky (v podobe stanoviska) tomu členskému štátu, v ktorom prebieha preverovanie alebo v ktorom sa plánuje alebo s</w:t>
      </w:r>
      <w:r>
        <w:rPr>
          <w:noProof/>
        </w:rPr>
        <w:t>a zrealizovala investícia. S cieľom zohľadniť pripomienky členských štátov by Komisia mala disponovať ďalším obdobím 25 pracovných dní na stanovenie, či má pre členské štáty, v ktorých sa investícia plánuje alebo realizuje, vydať takéto stanovisko.</w:t>
      </w:r>
    </w:p>
    <w:p w:rsidR="00B90EE1" w:rsidRDefault="003A231F">
      <w:pPr>
        <w:pBdr>
          <w:top w:val="nil"/>
          <w:left w:val="nil"/>
          <w:bottom w:val="nil"/>
          <w:right w:val="nil"/>
          <w:between w:val="nil"/>
          <w:bar w:val="nil"/>
        </w:pBdr>
        <w:spacing w:before="0" w:after="240"/>
        <w:rPr>
          <w:noProof/>
        </w:rPr>
      </w:pPr>
      <w:r>
        <w:rPr>
          <w:noProof/>
        </w:rPr>
        <w:t>Členské</w:t>
      </w:r>
      <w:r>
        <w:rPr>
          <w:noProof/>
        </w:rPr>
        <w:t>mu štátu, v ktorom sa plánuje alebo sa zrealizovala priama zahraničná investícia, môžu ovplyvnené členské štáty predložiť pripomienky a Komisia mu môže adresovať pripomienky, a to aj v prípade, že uvedený členský štát nemá zavedený mechanizmus preverovania</w:t>
      </w:r>
      <w:r>
        <w:rPr>
          <w:noProof/>
        </w:rPr>
        <w:t xml:space="preserve"> či nepreveruje danú investíciu. Uvedený členský štát môže v takom prípade zohľadniť tieto pripomienky a stanovisko všeobecnejšie pri tvorbe politiky.</w:t>
      </w:r>
    </w:p>
    <w:p w:rsidR="00B90EE1" w:rsidRDefault="003A231F">
      <w:pPr>
        <w:keepNext/>
        <w:pBdr>
          <w:top w:val="nil"/>
          <w:left w:val="nil"/>
          <w:bottom w:val="nil"/>
          <w:right w:val="nil"/>
          <w:between w:val="nil"/>
          <w:bar w:val="nil"/>
        </w:pBdr>
        <w:spacing w:before="0" w:after="240"/>
        <w:rPr>
          <w:b/>
          <w:noProof/>
        </w:rPr>
      </w:pPr>
      <w:r>
        <w:rPr>
          <w:b/>
          <w:noProof/>
        </w:rPr>
        <w:lastRenderedPageBreak/>
        <w:t>Preverovanie týkajúce sa projektov alebo programov v záujme Únie zo strany Komisie (články 3 a 9)</w:t>
      </w:r>
    </w:p>
    <w:p w:rsidR="00B90EE1" w:rsidRDefault="003A231F">
      <w:pPr>
        <w:pBdr>
          <w:top w:val="nil"/>
          <w:left w:val="nil"/>
          <w:bottom w:val="nil"/>
          <w:right w:val="nil"/>
          <w:between w:val="nil"/>
          <w:bar w:val="nil"/>
        </w:pBdr>
        <w:spacing w:before="0" w:after="240"/>
        <w:rPr>
          <w:noProof/>
        </w:rPr>
      </w:pPr>
      <w:r>
        <w:rPr>
          <w:noProof/>
        </w:rPr>
        <w:t xml:space="preserve">V </w:t>
      </w:r>
      <w:r>
        <w:rPr>
          <w:noProof/>
        </w:rPr>
        <w:t>článku 3 ods. 2 navrhovaného nariadenia sa zavádza možnosť, aby Komisia z hľadiska bezpečnosti alebo verejného poriadku preverovala priame zahraničné investície, ktoré môžu mať vplyv na projekty alebo programy v záujme Únie. V záujme zabezpečenia potrebnej</w:t>
      </w:r>
      <w:r>
        <w:rPr>
          <w:noProof/>
        </w:rPr>
        <w:t xml:space="preserve"> transparentnosti pre investorov a členské štáty sa v prílohe k tomuto nariadeniu uvádza názorný zoznam projektov alebo programov v záujme Únie.</w:t>
      </w:r>
    </w:p>
    <w:p w:rsidR="00B90EE1" w:rsidRDefault="003A231F">
      <w:pPr>
        <w:pBdr>
          <w:top w:val="nil"/>
          <w:left w:val="nil"/>
          <w:bottom w:val="nil"/>
          <w:right w:val="nil"/>
          <w:between w:val="nil"/>
          <w:bar w:val="nil"/>
        </w:pBdr>
        <w:spacing w:before="0" w:after="240"/>
        <w:rPr>
          <w:noProof/>
        </w:rPr>
      </w:pPr>
      <w:r>
        <w:rPr>
          <w:noProof/>
        </w:rPr>
        <w:t>V uvedených špecifických prípadoch môže Komisia adresovať stanovisko členským štátom, v ktorých sa investícia p</w:t>
      </w:r>
      <w:r>
        <w:rPr>
          <w:noProof/>
        </w:rPr>
        <w:t>lánuje alebo sa zrealizovala, keď sa domnieva, že investícia môže ohroziť bezpečnosť alebo verejný poriadok. Dôvodmi na preverovanie sú zakaždým bezpečnosť a verejný poriadok, pričom Komisia by mala byť schopná zvážiť istý počet faktorov vrátane tých, ktor</w:t>
      </w:r>
      <w:r>
        <w:rPr>
          <w:noProof/>
        </w:rPr>
        <w:t>é sa vymenúvajú v článku 4. Komisia by mala pri svojom preverovaní vziať do úvahy aj existenciu osobitných právnych predpisov na úrovni EÚ</w:t>
      </w:r>
      <w:r>
        <w:rPr>
          <w:rStyle w:val="Odkaznapoznmkupodiarou"/>
          <w:noProof/>
        </w:rPr>
        <w:footnoteReference w:id="24"/>
      </w:r>
      <w:r>
        <w:rPr>
          <w:noProof/>
        </w:rPr>
        <w:t>.</w:t>
      </w:r>
    </w:p>
    <w:p w:rsidR="00B90EE1" w:rsidRDefault="003A231F">
      <w:pPr>
        <w:pBdr>
          <w:top w:val="nil"/>
          <w:left w:val="nil"/>
          <w:bottom w:val="nil"/>
          <w:right w:val="nil"/>
          <w:between w:val="nil"/>
          <w:bar w:val="nil"/>
        </w:pBdr>
        <w:spacing w:before="0" w:after="240"/>
        <w:rPr>
          <w:noProof/>
        </w:rPr>
      </w:pPr>
      <w:r>
        <w:rPr>
          <w:noProof/>
        </w:rPr>
        <w:t xml:space="preserve">Dotknuté členské štáty v čo najväčšej miere zohľadnia stanovisko Komisie, a ak stanovisku nevyhovejú, vysvetlia to </w:t>
      </w:r>
      <w:r>
        <w:rPr>
          <w:noProof/>
        </w:rPr>
        <w:t>Komisii. Tie členské štáty, ktorým je stanovisko určené a ktoré preverujú priamu zahraničnú investíciu v rámci svojich mechanizmov preverovania, začlenia stanovisko Komisie do svojho procesu preverovania. Tie členské štáty, ktorým je stanovisko určené a kt</w:t>
      </w:r>
      <w:r>
        <w:rPr>
          <w:noProof/>
        </w:rPr>
        <w:t>oré nepristúpili k prevereniu, by mali zvážiť, akým spôsobom stanovisko zohľadnia, či už prostredníctvom svojho mechanizmu preverovania, alebo ak taký mechanizmus nemajú, všeobecnejšie pri svojej tvorbe politiky.</w:t>
      </w:r>
    </w:p>
    <w:p w:rsidR="00B90EE1" w:rsidRDefault="003A231F">
      <w:pPr>
        <w:pBdr>
          <w:top w:val="nil"/>
          <w:left w:val="nil"/>
          <w:bottom w:val="nil"/>
          <w:right w:val="nil"/>
          <w:between w:val="nil"/>
          <w:bar w:val="nil"/>
        </w:pBdr>
        <w:spacing w:before="0" w:after="240"/>
        <w:rPr>
          <w:b/>
          <w:noProof/>
        </w:rPr>
      </w:pPr>
      <w:r>
        <w:rPr>
          <w:b/>
          <w:noProof/>
        </w:rPr>
        <w:t>Požiadavky v oblasti oznamovania a poskytov</w:t>
      </w:r>
      <w:r>
        <w:rPr>
          <w:b/>
          <w:noProof/>
        </w:rPr>
        <w:t>ania informácií (články 7 a 10)</w:t>
      </w:r>
    </w:p>
    <w:p w:rsidR="00B90EE1" w:rsidRDefault="003A231F">
      <w:pPr>
        <w:pBdr>
          <w:top w:val="nil"/>
          <w:left w:val="nil"/>
          <w:bottom w:val="nil"/>
          <w:right w:val="nil"/>
          <w:between w:val="nil"/>
          <w:bar w:val="nil"/>
        </w:pBdr>
        <w:spacing w:before="0" w:after="240"/>
        <w:rPr>
          <w:noProof/>
        </w:rPr>
      </w:pPr>
      <w:r>
        <w:rPr>
          <w:noProof/>
        </w:rPr>
        <w:t>V článku 7 sa požaduje, aby členské štáty Komisii v určitej lehote oznámili svoje mechanizmy preverovania, ako aj všetky zmeny takýchto mechanizmov. Členské štáty budú musieť okrem toho Komisii podávať výročné správy o uplat</w:t>
      </w:r>
      <w:r>
        <w:rPr>
          <w:noProof/>
        </w:rPr>
        <w:t>ňovaní svojich mechanizmov preverovania, ktoré budú obsahovať aspoň tieto údaje: informácie o investíciách podliehajúcich preverovaniu, s uvedeným odvetvia, pôvodu a hodnoty investície podliehajúcej preverovaniu, ako aj informácie o rozhodnutiach o prevere</w:t>
      </w:r>
      <w:r>
        <w:rPr>
          <w:noProof/>
        </w:rPr>
        <w:t>ní, na základe ktorých sa investícia buď zakáže alebo sa takáto investícia podriadi podmienkam. Členské štáty, ktoré nemajú zavedený mechanizmus preverovania, by mali takisto podávať správu o priamych zahraničných investíciách, ktoré sa vykonali na ich úze</w:t>
      </w:r>
      <w:r>
        <w:rPr>
          <w:noProof/>
        </w:rPr>
        <w:t>mí, na základe informácií, ktoré majú k dispozícii.</w:t>
      </w:r>
    </w:p>
    <w:p w:rsidR="00B90EE1" w:rsidRDefault="003A231F">
      <w:pPr>
        <w:pBdr>
          <w:top w:val="nil"/>
          <w:left w:val="nil"/>
          <w:bottom w:val="nil"/>
          <w:right w:val="nil"/>
          <w:between w:val="nil"/>
          <w:bar w:val="nil"/>
        </w:pBdr>
        <w:spacing w:before="0" w:after="240"/>
        <w:rPr>
          <w:noProof/>
        </w:rPr>
      </w:pPr>
      <w:r>
        <w:rPr>
          <w:noProof/>
        </w:rPr>
        <w:t>S cieľom uľahčiť spoluprácu s inými členskými štátmi a Komisii preverovanie priamej zahraničnej investície sa v článku 10 ukladá všetkým členským štátom povinnosť (bez ohľadu na to, či majú mechanizmus pr</w:t>
      </w:r>
      <w:r>
        <w:rPr>
          <w:noProof/>
        </w:rPr>
        <w:t>everovania alebo nie) zabezpečiť určitú minimálnu úroveň informovania o priamych zahraničných investíciách patriacich do rozsahu pôsobnosti tohto nariadenia. Takéto minimálne informácie o priamej zahraničnej investícii by mal členský štát sprístupniť na ži</w:t>
      </w:r>
      <w:r>
        <w:rPr>
          <w:noProof/>
        </w:rPr>
        <w:t xml:space="preserve">adosť iného členského štátu alebo Komisie. Súčasťou príslušných informácií sú aspekty ako vlastnícka štruktúra zahraničného investora a financovanie plánovanej alebo </w:t>
      </w:r>
      <w:r>
        <w:rPr>
          <w:noProof/>
        </w:rPr>
        <w:lastRenderedPageBreak/>
        <w:t xml:space="preserve">zrealizovanej investície vrátane informácií o subvenciách udelených tretími krajinami, ak </w:t>
      </w:r>
      <w:r>
        <w:rPr>
          <w:noProof/>
        </w:rPr>
        <w:t>sú k dispozícii.</w:t>
      </w:r>
    </w:p>
    <w:p w:rsidR="00B90EE1" w:rsidRDefault="003A231F">
      <w:pPr>
        <w:pBdr>
          <w:top w:val="nil"/>
          <w:left w:val="nil"/>
          <w:bottom w:val="nil"/>
          <w:right w:val="nil"/>
          <w:between w:val="nil"/>
          <w:bar w:val="nil"/>
        </w:pBdr>
        <w:spacing w:before="0" w:after="240"/>
        <w:rPr>
          <w:b/>
          <w:noProof/>
        </w:rPr>
      </w:pPr>
      <w:r>
        <w:rPr>
          <w:b/>
          <w:noProof/>
        </w:rPr>
        <w:t>Zachovávanie dôvernosti (článok 11)</w:t>
      </w:r>
    </w:p>
    <w:p w:rsidR="00B90EE1" w:rsidRDefault="003A231F">
      <w:pPr>
        <w:pBdr>
          <w:top w:val="nil"/>
          <w:left w:val="nil"/>
          <w:bottom w:val="nil"/>
          <w:right w:val="nil"/>
          <w:between w:val="nil"/>
          <w:bar w:val="nil"/>
        </w:pBdr>
        <w:spacing w:before="0" w:after="240"/>
        <w:rPr>
          <w:noProof/>
        </w:rPr>
      </w:pPr>
      <w:r>
        <w:rPr>
          <w:noProof/>
        </w:rPr>
        <w:t>V článku 11 sa zaručuje, že informácie získané pri uplatňovaní nariadenia sa používajú len na účely, na ktoré boli vyžiadané, a že všetky dôverné informácie sú chránené.</w:t>
      </w:r>
    </w:p>
    <w:p w:rsidR="00B90EE1" w:rsidRDefault="003A231F">
      <w:pPr>
        <w:pBdr>
          <w:top w:val="nil"/>
          <w:left w:val="nil"/>
          <w:bottom w:val="nil"/>
          <w:right w:val="nil"/>
          <w:between w:val="nil"/>
          <w:bar w:val="nil"/>
        </w:pBdr>
        <w:spacing w:before="0" w:after="240"/>
        <w:rPr>
          <w:noProof/>
        </w:rPr>
      </w:pPr>
      <w:r>
        <w:rPr>
          <w:b/>
          <w:noProof/>
        </w:rPr>
        <w:t>Kontaktné miesta (článok 12)</w:t>
      </w:r>
    </w:p>
    <w:p w:rsidR="00B90EE1" w:rsidRDefault="003A231F">
      <w:pPr>
        <w:pBdr>
          <w:top w:val="nil"/>
          <w:left w:val="nil"/>
          <w:bottom w:val="nil"/>
          <w:right w:val="nil"/>
          <w:between w:val="nil"/>
          <w:bar w:val="nil"/>
        </w:pBdr>
        <w:spacing w:before="0" w:after="240"/>
        <w:rPr>
          <w:noProof/>
        </w:rPr>
      </w:pPr>
      <w:r>
        <w:rPr>
          <w:noProof/>
        </w:rPr>
        <w:t>V sn</w:t>
      </w:r>
      <w:r>
        <w:rPr>
          <w:noProof/>
        </w:rPr>
        <w:t>ahe zabezpečiť bezproblémové a efektívne vykonávanie nariadenia, a najmä zlepšiť komunikáciu a zintenzívniť spoluprácu medzi členskými štátmi a medzi členskými štátmi a Komisiou sa v článku 12 požaduje, aby členské štáty vo svojich správnych orgánoch zriad</w:t>
      </w:r>
      <w:r>
        <w:rPr>
          <w:noProof/>
        </w:rPr>
        <w:t>ili kontaktné miesta na účely preverovania priamych zahraničných investícií, na ktoré sa možno obrátiť so všetkými záležitosťami súvisiacimi s vykonávaním nariadenia.</w:t>
      </w:r>
    </w:p>
    <w:p w:rsidR="00B90EE1" w:rsidRDefault="003A231F">
      <w:pPr>
        <w:spacing w:before="0" w:after="240"/>
        <w:rPr>
          <w:noProof/>
        </w:rPr>
      </w:pPr>
      <w:r>
        <w:rPr>
          <w:noProof/>
        </w:rPr>
        <w:t>Ako sa uvádza v sprievodnom oznámení Komisie k tomuto návrhu, Komisia zároveň vytvorí koo</w:t>
      </w:r>
      <w:r>
        <w:rPr>
          <w:noProof/>
        </w:rPr>
        <w:t>rdinačnú skupinu na účely preverovania priamych zahraničných investícií, ktorá bude pozostávať zo zástupcov členských štátov a Komisie. Skupina by sa mala pravidelne stretávať, aby uvažovala o otázkach týkajúcich sa priamych zahraničných investícií smerujú</w:t>
      </w:r>
      <w:r>
        <w:rPr>
          <w:noProof/>
        </w:rPr>
        <w:t>cich do EÚ, neopomínajúc ani otázky vzniknuté pri vykonávaní nariadenia. Táto skupina by mohla okrem iného pôsobiť ako fórum na výmenu informácií medzi členskými štátmi o tokoch priamych zahraničných investícií a trendoch v tejto oblasti, ako aj o najlepší</w:t>
      </w:r>
      <w:r>
        <w:rPr>
          <w:noProof/>
        </w:rPr>
        <w:t>ch postupoch na preverovanie priamych zahraničných investícií.</w:t>
      </w:r>
    </w:p>
    <w:p w:rsidR="00B90EE1" w:rsidRDefault="00B90EE1">
      <w:pPr>
        <w:pBdr>
          <w:top w:val="nil"/>
          <w:left w:val="nil"/>
          <w:bottom w:val="nil"/>
          <w:right w:val="nil"/>
          <w:between w:val="nil"/>
          <w:bar w:val="nil"/>
        </w:pBdr>
        <w:spacing w:before="0" w:after="240"/>
        <w:rPr>
          <w:noProof/>
        </w:rPr>
        <w:sectPr w:rsidR="00B90EE1">
          <w:footerReference w:type="default" r:id="rId14"/>
          <w:footerReference w:type="first" r:id="rId15"/>
          <w:pgSz w:w="11907" w:h="16839"/>
          <w:pgMar w:top="1134" w:right="1417" w:bottom="1134" w:left="1417" w:header="709" w:footer="709" w:gutter="0"/>
          <w:cols w:space="708"/>
          <w:docGrid w:linePitch="360"/>
        </w:sectPr>
      </w:pPr>
    </w:p>
    <w:p w:rsidR="00B90EE1" w:rsidRDefault="003A231F">
      <w:pPr>
        <w:pStyle w:val="Rfrenceinterinstitutionnelle"/>
        <w:rPr>
          <w:noProof/>
        </w:rPr>
      </w:pPr>
      <w:r>
        <w:rPr>
          <w:noProof/>
        </w:rPr>
        <w:lastRenderedPageBreak/>
        <w:t>2017/0224 (COD)</w:t>
      </w:r>
    </w:p>
    <w:p w:rsidR="00B90EE1" w:rsidRDefault="003A231F">
      <w:pPr>
        <w:pStyle w:val="Statut"/>
        <w:rPr>
          <w:noProof/>
        </w:rPr>
      </w:pPr>
      <w:r>
        <w:rPr>
          <w:noProof/>
        </w:rPr>
        <w:t>Návrh</w:t>
      </w:r>
    </w:p>
    <w:p w:rsidR="00B90EE1" w:rsidRDefault="003A231F">
      <w:pPr>
        <w:pStyle w:val="Typedudocument"/>
        <w:rPr>
          <w:noProof/>
        </w:rPr>
      </w:pPr>
      <w:r>
        <w:rPr>
          <w:noProof/>
        </w:rPr>
        <w:t>NARIADENIE EURÓPSKEHO PARLAMENTU A RADY,</w:t>
      </w:r>
    </w:p>
    <w:p w:rsidR="00B90EE1" w:rsidRDefault="003A231F">
      <w:pPr>
        <w:pStyle w:val="Titreobjet"/>
        <w:rPr>
          <w:noProof/>
        </w:rPr>
      </w:pPr>
      <w:r>
        <w:rPr>
          <w:noProof/>
        </w:rPr>
        <w:t xml:space="preserve">ktorým sa stanovuje rámec na </w:t>
      </w:r>
      <w:r>
        <w:rPr>
          <w:noProof/>
        </w:rPr>
        <w:t>preverovanie priamych zahraničných investícií do Európskej únie</w:t>
      </w:r>
    </w:p>
    <w:p w:rsidR="00B90EE1" w:rsidRDefault="003A231F">
      <w:pPr>
        <w:pStyle w:val="Institutionquiagit"/>
        <w:rPr>
          <w:noProof/>
        </w:rPr>
      </w:pPr>
      <w:r>
        <w:rPr>
          <w:noProof/>
        </w:rPr>
        <w:t>EURÓPSKY PARLAMENT A RADA EURÓPSKEJ ÚNIE,</w:t>
      </w:r>
    </w:p>
    <w:p w:rsidR="00B90EE1" w:rsidRDefault="003A231F">
      <w:pPr>
        <w:rPr>
          <w:noProof/>
        </w:rPr>
      </w:pPr>
      <w:r>
        <w:rPr>
          <w:noProof/>
        </w:rPr>
        <w:t>so zreteľom na Zmluvu o fungovaní Európskej únie, a najmä na jej článok 207 ods. 2,</w:t>
      </w:r>
    </w:p>
    <w:p w:rsidR="00B90EE1" w:rsidRDefault="003A231F">
      <w:pPr>
        <w:rPr>
          <w:noProof/>
        </w:rPr>
      </w:pPr>
      <w:r>
        <w:rPr>
          <w:noProof/>
        </w:rPr>
        <w:t>so zreteľom na návrh Európskej komisie,</w:t>
      </w:r>
    </w:p>
    <w:p w:rsidR="00B90EE1" w:rsidRDefault="003A231F">
      <w:pPr>
        <w:rPr>
          <w:noProof/>
        </w:rPr>
      </w:pPr>
      <w:r>
        <w:rPr>
          <w:noProof/>
        </w:rPr>
        <w:t>po postúpení návrhu legisl</w:t>
      </w:r>
      <w:r>
        <w:rPr>
          <w:noProof/>
        </w:rPr>
        <w:t>atívneho aktu národným parlamentom,</w:t>
      </w:r>
    </w:p>
    <w:p w:rsidR="00B90EE1" w:rsidRDefault="003A231F">
      <w:pPr>
        <w:rPr>
          <w:noProof/>
        </w:rPr>
      </w:pPr>
      <w:r>
        <w:rPr>
          <w:noProof/>
        </w:rPr>
        <w:t>konajúc v súlade s riadnym legislatívnym postupom,</w:t>
      </w:r>
    </w:p>
    <w:p w:rsidR="00B90EE1" w:rsidRDefault="003A231F">
      <w:pPr>
        <w:rPr>
          <w:noProof/>
        </w:rPr>
      </w:pPr>
      <w:r>
        <w:rPr>
          <w:noProof/>
        </w:rPr>
        <w:t>keďže:</w:t>
      </w:r>
    </w:p>
    <w:p w:rsidR="00B90EE1" w:rsidRDefault="003A231F">
      <w:pPr>
        <w:pStyle w:val="ManualConsidrant"/>
        <w:rPr>
          <w:noProof/>
        </w:rPr>
      </w:pPr>
      <w:r>
        <w:rPr>
          <w:noProof/>
        </w:rPr>
        <w:t>(1)</w:t>
      </w:r>
      <w:r>
        <w:rPr>
          <w:noProof/>
        </w:rPr>
        <w:tab/>
        <w:t xml:space="preserve">Priame zahraničné investície napomáhajú rast Únie tým, že zvyšujú jej konkurencieschopnosť, vytvárajú pracovné miesta a umožňujú úspory z rozsahu, prinášajú </w:t>
      </w:r>
      <w:r>
        <w:rPr>
          <w:noProof/>
        </w:rPr>
        <w:t>kapitál, technológie, inováciu, expertízu a tým, že otvárajú nové trhy pre vývoz z Únie. Prispievajú k dosiahnutiu cieľov Investičného plánu Komisie pre Európu a podieľajú sa na iných projektoch a programoch Únie.</w:t>
      </w:r>
    </w:p>
    <w:p w:rsidR="00B90EE1" w:rsidRDefault="003A231F">
      <w:pPr>
        <w:pStyle w:val="ManualConsidrant"/>
        <w:rPr>
          <w:noProof/>
        </w:rPr>
      </w:pPr>
      <w:r>
        <w:rPr>
          <w:noProof/>
        </w:rPr>
        <w:t>(2)</w:t>
      </w:r>
      <w:r>
        <w:rPr>
          <w:noProof/>
        </w:rPr>
        <w:tab/>
        <w:t>Únia a jej členské štáty majú otvorené</w:t>
      </w:r>
      <w:r>
        <w:rPr>
          <w:noProof/>
        </w:rPr>
        <w:t xml:space="preserve"> investičné prostredie, ktoré je zakotvené v Zmluve o fungovaní Európskej únie (ďalej len „ZFEÚ“) a je pevnou súčasťou medzinárodných záväzkov, ktoré Únia a jej členské štáty prijali so zreteľom na priame zahraničné investície.</w:t>
      </w:r>
    </w:p>
    <w:p w:rsidR="00B90EE1" w:rsidRDefault="003A231F">
      <w:pPr>
        <w:pStyle w:val="ManualConsidrant"/>
        <w:rPr>
          <w:noProof/>
        </w:rPr>
      </w:pPr>
      <w:r>
        <w:rPr>
          <w:noProof/>
        </w:rPr>
        <w:t>(3)</w:t>
      </w:r>
      <w:r>
        <w:rPr>
          <w:noProof/>
        </w:rPr>
        <w:tab/>
        <w:t>Podľa medzinárodných záv</w:t>
      </w:r>
      <w:r>
        <w:rPr>
          <w:noProof/>
        </w:rPr>
        <w:t>äzkov prijatých v rámci Svetovej obchodnej organizácie, Organizácie pre hospodársku spoluprácu a rozvoj a v obchodných a investičných dohodách uzavretých s tretími krajinami môžu Únia a jej členské štáty prijať reštriktívne opatrenia týkajúce sa priamych z</w:t>
      </w:r>
      <w:r>
        <w:rPr>
          <w:noProof/>
        </w:rPr>
        <w:t>ahraničných investícií, a to z dôvodu bezpečnosti alebo verejného poriadku a za predpokladu, že sú splnené určité požiadavky.</w:t>
      </w:r>
    </w:p>
    <w:p w:rsidR="00B90EE1" w:rsidRDefault="003A231F">
      <w:pPr>
        <w:pStyle w:val="ManualConsidrant"/>
        <w:rPr>
          <w:noProof/>
        </w:rPr>
      </w:pPr>
      <w:r>
        <w:rPr>
          <w:noProof/>
        </w:rPr>
        <w:t>(4)</w:t>
      </w:r>
      <w:r>
        <w:rPr>
          <w:noProof/>
        </w:rPr>
        <w:tab/>
        <w:t xml:space="preserve">Viaceré členské štáty majú zavedené opatrenia, na základe ktorých môžu z dôvodu verejného poriadku alebo verejnej bezpečnosti </w:t>
      </w:r>
      <w:r>
        <w:rPr>
          <w:noProof/>
        </w:rPr>
        <w:t>obmedziť pohyb kapitálu medzi členskými štátmi a medzi členskými štátmi a tretími krajinami. Uvedené opatrenia sú vyjadrením cieľov a obáv, ktoré majú členské štáty v oblasti priamych zahraničných investícií, a vedú k istému počtu odlišných opatrení z hľad</w:t>
      </w:r>
      <w:r>
        <w:rPr>
          <w:noProof/>
        </w:rPr>
        <w:t>iska rozsahu pôsobnosti a postupu. Iné členské štáty takéto mechanizmy nemajú.</w:t>
      </w:r>
    </w:p>
    <w:p w:rsidR="00B90EE1" w:rsidRDefault="003A231F">
      <w:pPr>
        <w:pStyle w:val="ManualConsidrant"/>
        <w:rPr>
          <w:noProof/>
        </w:rPr>
      </w:pPr>
      <w:r>
        <w:rPr>
          <w:noProof/>
        </w:rPr>
        <w:t>(5)</w:t>
      </w:r>
      <w:r>
        <w:rPr>
          <w:noProof/>
        </w:rPr>
        <w:tab/>
        <w:t>Na úrovni EÚ v súčasnosti neexistuje komplexný rámec na preverovanie priamych zahraničných investícií z hľadiska bezpečnosti alebo verejného poriadku.</w:t>
      </w:r>
    </w:p>
    <w:p w:rsidR="00B90EE1" w:rsidRDefault="003A231F">
      <w:pPr>
        <w:pStyle w:val="ManualConsidrant"/>
        <w:rPr>
          <w:noProof/>
        </w:rPr>
      </w:pPr>
      <w:r>
        <w:rPr>
          <w:noProof/>
        </w:rPr>
        <w:t>(6)</w:t>
      </w:r>
      <w:r>
        <w:rPr>
          <w:noProof/>
        </w:rPr>
        <w:tab/>
        <w:t xml:space="preserve">Priame zahraničné </w:t>
      </w:r>
      <w:r>
        <w:rPr>
          <w:noProof/>
        </w:rPr>
        <w:t>investície patria pod spoločnú obchodnú politiku. Pokiaľ ide o spoločnú obchodnú politiku, Európska únia má v súlade s článkom 3 ods. 1 písm. e) ZFEÚ výlučnú právomoc.</w:t>
      </w:r>
    </w:p>
    <w:p w:rsidR="00B90EE1" w:rsidRDefault="003A231F">
      <w:pPr>
        <w:pStyle w:val="ManualConsidrant"/>
        <w:rPr>
          <w:noProof/>
        </w:rPr>
      </w:pPr>
      <w:r>
        <w:rPr>
          <w:noProof/>
        </w:rPr>
        <w:t>(7)</w:t>
      </w:r>
      <w:r>
        <w:rPr>
          <w:noProof/>
        </w:rPr>
        <w:tab/>
        <w:t>Je dôležité poskytnúť právnu istotu a zabezpečiť celoúnijnú širokú koordináciu a spo</w:t>
      </w:r>
      <w:r>
        <w:rPr>
          <w:noProof/>
        </w:rPr>
        <w:t xml:space="preserve">luprácu tak, že sa zriadi rámec na preverovanie priamych zahraničných investícií </w:t>
      </w:r>
      <w:r>
        <w:rPr>
          <w:noProof/>
        </w:rPr>
        <w:lastRenderedPageBreak/>
        <w:t>do Únie z hľadiska bezpečnosti a verejného poriadku. Nie je tým dotknutá výlučná právomoc členských štátov v oblasti ochrany národnej bezpečnosti.</w:t>
      </w:r>
    </w:p>
    <w:p w:rsidR="00B90EE1" w:rsidRDefault="003A231F">
      <w:pPr>
        <w:pStyle w:val="ManualConsidrant"/>
        <w:rPr>
          <w:noProof/>
        </w:rPr>
      </w:pPr>
      <w:r>
        <w:rPr>
          <w:noProof/>
        </w:rPr>
        <w:t>(8)</w:t>
      </w:r>
      <w:r>
        <w:rPr>
          <w:noProof/>
        </w:rPr>
        <w:tab/>
        <w:t>Rámec na preverovanie pr</w:t>
      </w:r>
      <w:r>
        <w:rPr>
          <w:noProof/>
        </w:rPr>
        <w:t xml:space="preserve">iamych zahraničných investícií by mal členským štátom a Komisii poskytovať prostriedky na odstránenie rizík ohrozujúcich bezpečnosť alebo verejný poriadok komplexným spôsobom a na prispôsobenie sa meniacim okolnostiam, pričom sa zachová potrebná pružnosť, </w:t>
      </w:r>
      <w:r>
        <w:rPr>
          <w:noProof/>
        </w:rPr>
        <w:t>aby mohli členské štáty pri preverovaní priamych zahraničných investícií z hľadiska bezpečnosti a verejného poriadku zohľadniť svoju osobitnú situáciu a vnútroštátne okolnosti.</w:t>
      </w:r>
    </w:p>
    <w:p w:rsidR="00B90EE1" w:rsidRDefault="003A231F">
      <w:pPr>
        <w:pStyle w:val="ManualConsidrant"/>
        <w:rPr>
          <w:noProof/>
        </w:rPr>
      </w:pPr>
      <w:r>
        <w:rPr>
          <w:noProof/>
        </w:rPr>
        <w:t>(9)</w:t>
      </w:r>
      <w:r>
        <w:rPr>
          <w:noProof/>
        </w:rPr>
        <w:tab/>
        <w:t>Mal by sa vzťahovať na široké spektrum investícií, ktorými vznikajú alebo s</w:t>
      </w:r>
      <w:r>
        <w:rPr>
          <w:noProof/>
        </w:rPr>
        <w:t>a udržiavajú trvácne a priame väzby medzi investormi z tretích krajín a podnikmi vykonávajúcimi hospodársku činnosť v niektorom členskom štáte.</w:t>
      </w:r>
    </w:p>
    <w:p w:rsidR="00B90EE1" w:rsidRDefault="003A231F">
      <w:pPr>
        <w:pStyle w:val="ManualConsidrant"/>
        <w:rPr>
          <w:noProof/>
        </w:rPr>
      </w:pPr>
      <w:r>
        <w:rPr>
          <w:noProof/>
        </w:rPr>
        <w:t>(10)</w:t>
      </w:r>
      <w:r>
        <w:rPr>
          <w:noProof/>
        </w:rPr>
        <w:tab/>
        <w:t>Členské štáty by mali byť schopné prijímať potrebné opatrenia v súlade s právom Únie, aby sa zabránilo obch</w:t>
      </w:r>
      <w:r>
        <w:rPr>
          <w:noProof/>
        </w:rPr>
        <w:t>ádzaniu ich mechanizmov preverovania a rozhodnutí o preverení prijatých na ochranu bezpečnosti alebo verejného poriadku. Malo by sa to vzťahovať na investície v rámci Únie realizované prostredníctvom umelých dohôd, ktoré neodrážajú hospodársku realitu a ob</w:t>
      </w:r>
      <w:r>
        <w:rPr>
          <w:noProof/>
        </w:rPr>
        <w:t>chádzajú mechanizmy preverovania a rozhodnutia o preverení, keď je investor v konečnom dôsledku vo vlastníctve alebo pod kontrolou fyzickej osoby alebo podniku z tretej krajiny. Nie je tým dotknutá sloboda usadiť sa a voľný pohyb kapitálu zakotvené v ZFEÚ.</w:t>
      </w:r>
    </w:p>
    <w:p w:rsidR="00B90EE1" w:rsidRDefault="003A231F">
      <w:pPr>
        <w:pStyle w:val="ManualConsidrant"/>
        <w:rPr>
          <w:noProof/>
        </w:rPr>
      </w:pPr>
      <w:r>
        <w:rPr>
          <w:noProof/>
        </w:rPr>
        <w:t>(11)</w:t>
      </w:r>
      <w:r>
        <w:rPr>
          <w:noProof/>
        </w:rPr>
        <w:tab/>
        <w:t>Na usmernenie členských štátov a Komisie pri uplatňovaní nariadenia je vhodné poskytnúť zoznam faktorov, ktoré možno zvážiť pri preverovaní priamej zahraničnej investície z hľadiska bezpečnosti alebo verejného poriadku. Vďaka tomuto zoznamu sa zárove</w:t>
      </w:r>
      <w:r>
        <w:rPr>
          <w:noProof/>
        </w:rPr>
        <w:t>ň zlepší transparentnosť procesu preverovania z pohľadu investorov, ktorí v Únii realizujú alebo zrealizovali priame zahraničné investície. Tento zoznam faktorov, ktoré môžu mať vplyv na bezpečnosť alebo verejný poriadok, by mal zostať informatívny.</w:t>
      </w:r>
    </w:p>
    <w:p w:rsidR="00B90EE1" w:rsidRDefault="003A231F">
      <w:pPr>
        <w:pStyle w:val="ManualConsidrant"/>
        <w:rPr>
          <w:noProof/>
        </w:rPr>
      </w:pPr>
      <w:r>
        <w:rPr>
          <w:noProof/>
        </w:rPr>
        <w:t>(12)</w:t>
      </w:r>
      <w:r>
        <w:rPr>
          <w:noProof/>
        </w:rPr>
        <w:tab/>
        <w:t>P</w:t>
      </w:r>
      <w:r>
        <w:rPr>
          <w:noProof/>
        </w:rPr>
        <w:t>ri určovaní toho, či priama zahraničná investícia môže mať vplyv na bezpečnosť alebo verejný poriadok, by mali byť členské štáty a Komisia schopné zvážiť všetky príslušné faktory vrátane jej účinkov na kritickú infraštruktúru, technológie (aj dôležité podp</w:t>
      </w:r>
      <w:r>
        <w:rPr>
          <w:noProof/>
        </w:rPr>
        <w:t>orné technológie) a vstupy, ktoré sú zásadné z hľadiska bezpečnosti alebo zachovania verejného poriadku, ktorých znefunkčnenie, strata alebo zničenie by mali v danom členskom štáte alebo v Únii značný vplyv. Členské štáty a Komisia by mali byť v tomto ohľa</w:t>
      </w:r>
      <w:r>
        <w:rPr>
          <w:noProof/>
        </w:rPr>
        <w:t>de zároveň schopné zohľadniť, či je zahraničný investor priamo alebo nepriamo (napríklad formou poskytovania značných finančných prostriedkov aj za pomoci subvencií) pod kontrolou vlády tretej krajiny.</w:t>
      </w:r>
    </w:p>
    <w:p w:rsidR="00B90EE1" w:rsidRDefault="003A231F">
      <w:pPr>
        <w:pStyle w:val="ManualConsidrant"/>
        <w:rPr>
          <w:noProof/>
        </w:rPr>
      </w:pPr>
      <w:r>
        <w:rPr>
          <w:noProof/>
        </w:rPr>
        <w:t>(13)</w:t>
      </w:r>
      <w:r>
        <w:rPr>
          <w:noProof/>
        </w:rPr>
        <w:tab/>
        <w:t>Je vhodné ustanoviť základné prvky procesného rám</w:t>
      </w:r>
      <w:r>
        <w:rPr>
          <w:noProof/>
        </w:rPr>
        <w:t>ca na preverovanie priamej zahraničnej investície členskými štátmi, aby sa investorom, Komisii a iným členským štátom umožnilo porozumieť tomu, ako by sa takéto investície mali preverovať, a zabezpečiť transparentnosť preverovania týchto investícií a nedis</w:t>
      </w:r>
      <w:r>
        <w:rPr>
          <w:noProof/>
        </w:rPr>
        <w:t>kriminačný prístup k jednotlivým tretím krajinám. Tieto prvky by mali zahŕňať aspoň stanovenie lehôt na preverovanie a možnosť, aby si zahraniční investori uplatňovali nárok na súdnu nápravu rozhodnutí o preverení.</w:t>
      </w:r>
    </w:p>
    <w:p w:rsidR="00B90EE1" w:rsidRDefault="003A231F">
      <w:pPr>
        <w:pStyle w:val="ManualConsidrant"/>
        <w:rPr>
          <w:noProof/>
        </w:rPr>
      </w:pPr>
      <w:r>
        <w:rPr>
          <w:noProof/>
        </w:rPr>
        <w:t>(14)</w:t>
      </w:r>
      <w:r>
        <w:rPr>
          <w:noProof/>
        </w:rPr>
        <w:tab/>
        <w:t>Mal by sa zriadiť mechanizmus, ktorý</w:t>
      </w:r>
      <w:r>
        <w:rPr>
          <w:noProof/>
        </w:rPr>
        <w:t xml:space="preserve"> členským štátom umožní spolupracovať a navzájom si pomáhať, keď priama zahraničná investícia v jednom členskom štáte môže mať vplyv na bezpečnosť alebo verejný poriadok iných členských štátov. Členské štáty by mali mať možnosť predložiť pripomienky člensk</w:t>
      </w:r>
      <w:r>
        <w:rPr>
          <w:noProof/>
        </w:rPr>
        <w:t xml:space="preserve">ému štátu, v ktorom sa investícia plánuje alebo sa zrealizovala, bez ohľadu na to, či členské štáty predkladajúce pripomienky alebo členské štáty, v ktorých sa investícia plánuje alebo sa zrealizovala, </w:t>
      </w:r>
      <w:r>
        <w:rPr>
          <w:noProof/>
        </w:rPr>
        <w:lastRenderedPageBreak/>
        <w:t>majú alebo nemajú zavedený mechanizmus preverovania al</w:t>
      </w:r>
      <w:r>
        <w:rPr>
          <w:noProof/>
        </w:rPr>
        <w:t xml:space="preserve">ebo či investíciu preverujú alebo nepreverujú. Pripomienky členských štátov by sa mali postúpiť aj Komisii. Komisia by takisto mala mať možnosť vydať v prípade potreby stanovisko pre členský štát, v ktorom sa investícia plánuje alebo sa zrealizovala, a to </w:t>
      </w:r>
      <w:r>
        <w:rPr>
          <w:noProof/>
        </w:rPr>
        <w:t>bez ohľadu na to, či tento členský štát má zavedený mechanizmus preverovania alebo preveruje investíciu, a bez ohľadu na to, či iné členské štáty predložili pripomienky.</w:t>
      </w:r>
    </w:p>
    <w:p w:rsidR="00B90EE1" w:rsidRDefault="003A231F">
      <w:pPr>
        <w:pStyle w:val="ManualConsidrant"/>
        <w:rPr>
          <w:noProof/>
        </w:rPr>
      </w:pPr>
      <w:r>
        <w:rPr>
          <w:noProof/>
        </w:rPr>
        <w:t>(15)</w:t>
      </w:r>
      <w:r>
        <w:rPr>
          <w:noProof/>
        </w:rPr>
        <w:tab/>
        <w:t>Komisia by navyše mala mať možnosť preverovať z hľadiska bezpečnosti alebo verejn</w:t>
      </w:r>
      <w:r>
        <w:rPr>
          <w:noProof/>
        </w:rPr>
        <w:t>ého poriadku priame zahraničné investície, ktoré môžu mať vplyv na projekty a programy v záujme Únie. Komisia by tak získala nástroj na ochranu projektov a programov, ktoré slúžia Únii ako celku, a sú významným prínosom k jej hospodárskemu rastu, tvorbe pr</w:t>
      </w:r>
      <w:r>
        <w:rPr>
          <w:noProof/>
        </w:rPr>
        <w:t>acovných miest a konkurencieschopnosti. Týka sa to predovšetkým projektov a programov, ktoré sú do veľkej miery financované z EÚ alebo sú zavedené právnymi predpismi Únie týkajúcimi sa kritickej infraštruktúry, kritických technológií či kritických vstupov.</w:t>
      </w:r>
      <w:r>
        <w:rPr>
          <w:noProof/>
        </w:rPr>
        <w:t xml:space="preserve"> V záujme väčšej jasnosti by sa mal v prílohe uvádzať orientačný zoznam projektov alebo programov v záujme Únie, v súvislosti s ktorými môže Komisia podrobiť priamu zahraničnú investíciu preverovaniu.</w:t>
      </w:r>
    </w:p>
    <w:p w:rsidR="00B90EE1" w:rsidRDefault="003A231F">
      <w:pPr>
        <w:pStyle w:val="ManualConsidrant"/>
        <w:rPr>
          <w:noProof/>
        </w:rPr>
      </w:pPr>
      <w:r>
        <w:rPr>
          <w:noProof/>
        </w:rPr>
        <w:t>(16)</w:t>
      </w:r>
      <w:r>
        <w:rPr>
          <w:noProof/>
        </w:rPr>
        <w:tab/>
        <w:t>Keď sa Komisia domnieva, že priama zahraničná inve</w:t>
      </w:r>
      <w:r>
        <w:rPr>
          <w:noProof/>
        </w:rPr>
        <w:t>stícia by mohla mať z hľadiska bezpečnosti alebo verejného poriadku vplyv na projekty alebo programy v záujme Únie, mala by mať možnosť v primeranej lehote adresovať stanovisko tým členským štátom, v ktorých sa takáto investícia plánuje alebo sa zrealizova</w:t>
      </w:r>
      <w:r>
        <w:rPr>
          <w:noProof/>
        </w:rPr>
        <w:t>la. Členské štáty by mali stanovisko v čo najväčšej miere zohľadniť, a ak mu nevyhovejú, mali by to Komisii vysvetliť v súlade s povinnosťou lojálnej spolupráce podľa článku 4 ods. 3 ZEÚ. Komisia by zároveň mala mať možnosť požiadať dané členské štáty o in</w:t>
      </w:r>
      <w:r>
        <w:rPr>
          <w:noProof/>
        </w:rPr>
        <w:t>formácie, ktoré potrebuje na účely preverenia takejto investície.</w:t>
      </w:r>
    </w:p>
    <w:p w:rsidR="00B90EE1" w:rsidRDefault="003A231F">
      <w:pPr>
        <w:pStyle w:val="ManualConsidrant"/>
        <w:rPr>
          <w:noProof/>
        </w:rPr>
      </w:pPr>
      <w:r>
        <w:rPr>
          <w:noProof/>
        </w:rPr>
        <w:t>(17)</w:t>
      </w:r>
      <w:r>
        <w:rPr>
          <w:noProof/>
        </w:rPr>
        <w:tab/>
        <w:t>S cieľom uľahčiť spoluprácu s inými členskými štátmi a Komisii preverovanie priamej zahraničnej investície by členské štáty mali Komisii oznamovať svoje mechanizmy preverovania a všetky</w:t>
      </w:r>
      <w:r>
        <w:rPr>
          <w:noProof/>
        </w:rPr>
        <w:t xml:space="preserve"> ich zmeny a mali by pravidelne podávať správy o uplatňovaní svojich mechanizmov preverovania. Z rovnakého dôvodu by členské štáty, ktoré nemajú mechanizmus preverovania, mali takisto podávať správu o priamych zahraničných investíciách, ktoré sa vykonali n</w:t>
      </w:r>
      <w:r>
        <w:rPr>
          <w:noProof/>
        </w:rPr>
        <w:t>a ich území, a to na základe informácií, ktoré majú k dispozícii.</w:t>
      </w:r>
    </w:p>
    <w:p w:rsidR="00B90EE1" w:rsidRDefault="003A231F">
      <w:pPr>
        <w:pStyle w:val="ManualConsidrant"/>
        <w:rPr>
          <w:noProof/>
        </w:rPr>
      </w:pPr>
      <w:r>
        <w:rPr>
          <w:noProof/>
        </w:rPr>
        <w:t>(18)</w:t>
      </w:r>
      <w:r>
        <w:rPr>
          <w:noProof/>
        </w:rPr>
        <w:tab/>
        <w:t>Na tieto účely je taktiež dôležité zabezpečiť vo všetkých členských štátoch určitú minimálnu úroveň informácií a spolupráce, pokiaľ ide o priame zahraničné investície patriace do rozsah</w:t>
      </w:r>
      <w:r>
        <w:rPr>
          <w:noProof/>
        </w:rPr>
        <w:t>u pôsobnosti tohto nariadenia. Členské štáty, v ktorých sa priama zahraničná investícia plánuje alebo sa zrealizovala, by mali na žiadosť členských štátov alebo Komisie sprístupniť tieto informácie. Súčasťou príslušných informácií sú aspekty ako vlastnícka</w:t>
      </w:r>
      <w:r>
        <w:rPr>
          <w:noProof/>
        </w:rPr>
        <w:t xml:space="preserve"> štruktúra zahraničného investora a financovanie plánovanej alebo zrealizovanej investície vrátane informácií o subvenciách poskytnutých tretími krajinami, ak sú k dispozícii.</w:t>
      </w:r>
    </w:p>
    <w:p w:rsidR="00B90EE1" w:rsidRDefault="003A231F">
      <w:pPr>
        <w:pStyle w:val="ManualConsidrant"/>
        <w:rPr>
          <w:noProof/>
        </w:rPr>
      </w:pPr>
      <w:r>
        <w:rPr>
          <w:noProof/>
        </w:rPr>
        <w:t>(19)</w:t>
      </w:r>
      <w:r>
        <w:rPr>
          <w:noProof/>
        </w:rPr>
        <w:tab/>
        <w:t>Komunikáciu a spoluprácu na úrovni členských štátov a Únie by malo posilniť</w:t>
      </w:r>
      <w:r>
        <w:rPr>
          <w:noProof/>
        </w:rPr>
        <w:t xml:space="preserve"> zriadenie kontaktných miest na účely preverovania priamych zahraničných investícií v každom členskom štáte.</w:t>
      </w:r>
    </w:p>
    <w:p w:rsidR="00B90EE1" w:rsidRDefault="003A231F">
      <w:pPr>
        <w:pStyle w:val="ManualConsidrant"/>
        <w:rPr>
          <w:noProof/>
        </w:rPr>
      </w:pPr>
      <w:r>
        <w:rPr>
          <w:noProof/>
        </w:rPr>
        <w:t>(20)</w:t>
      </w:r>
      <w:r>
        <w:rPr>
          <w:noProof/>
        </w:rPr>
        <w:tab/>
        <w:t>Členské štáty a Komisia by mali prijať všetky opatrenia potrebné na zabezpečenie ochrany dôverných a iných citlivých informácií.</w:t>
      </w:r>
    </w:p>
    <w:p w:rsidR="00B90EE1" w:rsidRDefault="003A231F">
      <w:pPr>
        <w:pStyle w:val="ManualConsidrant"/>
        <w:rPr>
          <w:noProof/>
        </w:rPr>
      </w:pPr>
      <w:r>
        <w:rPr>
          <w:noProof/>
        </w:rPr>
        <w:t>(21)</w:t>
      </w:r>
      <w:r>
        <w:rPr>
          <w:noProof/>
        </w:rPr>
        <w:tab/>
        <w:t>Najneskô</w:t>
      </w:r>
      <w:r>
        <w:rPr>
          <w:noProof/>
        </w:rPr>
        <w:t xml:space="preserve">r tri roky po nadobudnutí účinnosti tohto nariadenia by Komisia mala predložiť Európskemu parlamentu a Rade správu o jeho uplatňovaní. Ak sa v správe navrhne </w:t>
      </w:r>
      <w:r>
        <w:rPr>
          <w:noProof/>
        </w:rPr>
        <w:lastRenderedPageBreak/>
        <w:t>zmena ustanovení tohto nariadenia, môže sa k nej v prípade potreby pripojiť sprievodný legislatívn</w:t>
      </w:r>
      <w:r>
        <w:rPr>
          <w:noProof/>
        </w:rPr>
        <w:t>y návrh.</w:t>
      </w:r>
    </w:p>
    <w:p w:rsidR="00B90EE1" w:rsidRDefault="003A231F">
      <w:pPr>
        <w:pStyle w:val="ManualConsidrant"/>
        <w:rPr>
          <w:noProof/>
        </w:rPr>
      </w:pPr>
      <w:r>
        <w:rPr>
          <w:noProof/>
        </w:rPr>
        <w:t>(22)</w:t>
      </w:r>
      <w:r>
        <w:rPr>
          <w:noProof/>
        </w:rPr>
        <w:tab/>
        <w:t>Únia a členské štáty by mali vykonávať toto nariadenie v súlade s príslušnými požiadavkami týkajúcimi sa ukladania reštriktívnych opatrení založených na dôvodoch bezpečnosti a verejného poriadku, ktoré sa uvádzajú v práve Únie, Dohode o Európ</w:t>
      </w:r>
      <w:r>
        <w:rPr>
          <w:noProof/>
        </w:rPr>
        <w:t xml:space="preserve">skom hospodárskom priestore (ďalej len „Dohoda o EHP“), Dohode o založení WTO (konkrétne aj v článku XIV písm. a) a článku XIVa Všeobecnej dohody o obchode so službami) a v iných obchodných a investičných dohodách alebo dojednaniach, ktorých sú Únia alebo </w:t>
      </w:r>
      <w:r>
        <w:rPr>
          <w:noProof/>
        </w:rPr>
        <w:t>jej členské štáty zmluvnými stranami.</w:t>
      </w:r>
    </w:p>
    <w:p w:rsidR="00B90EE1" w:rsidRDefault="003A231F">
      <w:pPr>
        <w:pStyle w:val="ManualConsidrant"/>
        <w:rPr>
          <w:noProof/>
        </w:rPr>
      </w:pPr>
      <w:r>
        <w:rPr>
          <w:noProof/>
        </w:rPr>
        <w:t>(23)</w:t>
      </w:r>
      <w:r>
        <w:rPr>
          <w:noProof/>
        </w:rPr>
        <w:tab/>
        <w:t>Keď priama zahraničná investícia predstavuje koncentráciu, ktorá patrí do rozsahu pôsobnosti nariadenia Rady (ES) č. 139/2004</w:t>
      </w:r>
      <w:r>
        <w:rPr>
          <w:rStyle w:val="Odkaznapoznmkupodiarou"/>
          <w:noProof/>
        </w:rPr>
        <w:footnoteReference w:id="25"/>
      </w:r>
      <w:r>
        <w:rPr>
          <w:noProof/>
        </w:rPr>
        <w:t>, vykonávaním tohto nariadenia by nemalo byť dotknuté uplatňovanie článku 21 ods. 4 nar</w:t>
      </w:r>
      <w:r>
        <w:rPr>
          <w:noProof/>
        </w:rPr>
        <w:t>iadenia (ES) č. 139/2004. Toto nariadenie a článok 21 ods. 4 nariadenia (ES) č. 139/2004 by sa mali uplatňovať konzistentne. Pokiaľ sa príslušné rozsahy pôsobnosti daných dvoch nariadení prekrývajú, dôvody na preverovanie uvedené v článku 1 tohto nariadeni</w:t>
      </w:r>
      <w:r>
        <w:rPr>
          <w:noProof/>
        </w:rPr>
        <w:t xml:space="preserve">a a koncepcia oprávnených záujmov v zmysle článku 21 ods. 4 tretieho pododseku nariadenia (ES) č. 139/2004 by sa mali vykladať koherentne, bez toho, aby tým bolo dotknuté posúdenie zlučiteľnosti vnútroštátnych opatrení zameraných na ochranu týchto záujmov </w:t>
      </w:r>
      <w:r>
        <w:rPr>
          <w:noProof/>
        </w:rPr>
        <w:t>so všeobecnými zásadami a inými ustanoveniami práva Únie.</w:t>
      </w:r>
    </w:p>
    <w:p w:rsidR="00B90EE1" w:rsidRDefault="003A231F">
      <w:pPr>
        <w:pStyle w:val="ManualConsidrant"/>
        <w:rPr>
          <w:noProof/>
        </w:rPr>
      </w:pPr>
      <w:r>
        <w:rPr>
          <w:noProof/>
        </w:rPr>
        <w:t>(24)</w:t>
      </w:r>
      <w:r>
        <w:rPr>
          <w:noProof/>
        </w:rPr>
        <w:tab/>
        <w:t>Toto nariadenie je v súlade s inými postupmi oznamovania a preverovania uvedenými v odvetvovom práve Únie, a tieto postupy ním nie sú dotknuté,</w:t>
      </w:r>
    </w:p>
    <w:p w:rsidR="00B90EE1" w:rsidRDefault="003A231F">
      <w:pPr>
        <w:pStyle w:val="Formuledadoption"/>
        <w:rPr>
          <w:noProof/>
        </w:rPr>
      </w:pPr>
      <w:r>
        <w:rPr>
          <w:noProof/>
        </w:rPr>
        <w:t>PRIJALI TOTO NARIADENIE:</w:t>
      </w:r>
    </w:p>
    <w:p w:rsidR="00B90EE1" w:rsidRDefault="003A231F">
      <w:pPr>
        <w:pStyle w:val="Titrearticle"/>
        <w:rPr>
          <w:noProof/>
        </w:rPr>
      </w:pPr>
      <w:r>
        <w:rPr>
          <w:noProof/>
        </w:rPr>
        <w:t>Článok 1</w:t>
      </w:r>
    </w:p>
    <w:p w:rsidR="00B90EE1" w:rsidRDefault="003A231F">
      <w:pPr>
        <w:jc w:val="center"/>
        <w:rPr>
          <w:b/>
          <w:bCs/>
          <w:noProof/>
        </w:rPr>
      </w:pPr>
      <w:r>
        <w:rPr>
          <w:b/>
          <w:noProof/>
        </w:rPr>
        <w:t xml:space="preserve">Predmet úpravy </w:t>
      </w:r>
      <w:r>
        <w:rPr>
          <w:b/>
          <w:noProof/>
        </w:rPr>
        <w:t>a rozsah pôsobnosti</w:t>
      </w:r>
    </w:p>
    <w:p w:rsidR="00B90EE1" w:rsidRDefault="003A231F">
      <w:pPr>
        <w:rPr>
          <w:noProof/>
        </w:rPr>
      </w:pPr>
      <w:r>
        <w:rPr>
          <w:noProof/>
        </w:rPr>
        <w:t>V tomto nariadení sa stanovuje rámec na preverovanie priamych zahraničných investícií do Únie z hľadiska bezpečnosti a verejného poriadku, ktoré vykonávajú členské štáty a Komisia.</w:t>
      </w:r>
    </w:p>
    <w:p w:rsidR="00B90EE1" w:rsidRDefault="003A231F">
      <w:pPr>
        <w:pStyle w:val="Titrearticle"/>
        <w:rPr>
          <w:noProof/>
        </w:rPr>
      </w:pPr>
      <w:r>
        <w:rPr>
          <w:noProof/>
        </w:rPr>
        <w:t>Článok 2</w:t>
      </w:r>
    </w:p>
    <w:p w:rsidR="00B90EE1" w:rsidRDefault="003A231F">
      <w:pPr>
        <w:jc w:val="center"/>
        <w:rPr>
          <w:b/>
          <w:bCs/>
          <w:noProof/>
        </w:rPr>
      </w:pPr>
      <w:r>
        <w:rPr>
          <w:b/>
          <w:noProof/>
        </w:rPr>
        <w:t>Vymedzenie pojmov</w:t>
      </w:r>
    </w:p>
    <w:p w:rsidR="00B90EE1" w:rsidRDefault="003A231F">
      <w:pPr>
        <w:rPr>
          <w:noProof/>
        </w:rPr>
      </w:pPr>
      <w:r>
        <w:rPr>
          <w:noProof/>
        </w:rPr>
        <w:t>Na účely tohto nariadenia sa</w:t>
      </w:r>
      <w:r>
        <w:rPr>
          <w:noProof/>
        </w:rPr>
        <w:t xml:space="preserve"> uplatňuje toto vymedzenie pojmov:</w:t>
      </w:r>
    </w:p>
    <w:p w:rsidR="00B90EE1" w:rsidRDefault="003A231F">
      <w:pPr>
        <w:pStyle w:val="ManualNumPar1"/>
        <w:rPr>
          <w:noProof/>
        </w:rPr>
      </w:pPr>
      <w:r>
        <w:rPr>
          <w:noProof/>
        </w:rPr>
        <w:t>1.</w:t>
      </w:r>
      <w:r>
        <w:rPr>
          <w:noProof/>
        </w:rPr>
        <w:tab/>
        <w:t>„priama zahraničná investícia“ je investícia každého druhu zo strany zahraničného investora, ktorý sa usiluje vytvoriť alebo udržať trvácne a priame väzby medzi zahraničným investorom a podnikateľom či podnikom, ktorém</w:t>
      </w:r>
      <w:r>
        <w:rPr>
          <w:noProof/>
        </w:rPr>
        <w:t>u dáva k dispozícii daný kapitál, s cieľom vykonávať hospodársku činnosť v členskom štáte, vrátane investícií, ktoré umožňujú účinnú účasť na riadení alebo kontrole spoločnosti, ktorá vykonáva hospodársku činnosť;</w:t>
      </w:r>
    </w:p>
    <w:p w:rsidR="00B90EE1" w:rsidRDefault="003A231F">
      <w:pPr>
        <w:pStyle w:val="ManualNumPar1"/>
        <w:rPr>
          <w:noProof/>
        </w:rPr>
      </w:pPr>
      <w:r>
        <w:rPr>
          <w:noProof/>
        </w:rPr>
        <w:t>2.</w:t>
      </w:r>
      <w:r>
        <w:rPr>
          <w:noProof/>
        </w:rPr>
        <w:tab/>
        <w:t xml:space="preserve">„zahraničný investor“ je fyzická osoba </w:t>
      </w:r>
      <w:r>
        <w:rPr>
          <w:noProof/>
        </w:rPr>
        <w:t>z tretej krajiny alebo podnik z tretej krajiny, ktorí plánujú zrealizovať alebo zrealizovali priamu zahraničnú investíciu;</w:t>
      </w:r>
    </w:p>
    <w:p w:rsidR="00B90EE1" w:rsidRDefault="003A231F">
      <w:pPr>
        <w:pStyle w:val="ManualNumPar1"/>
        <w:rPr>
          <w:noProof/>
        </w:rPr>
      </w:pPr>
      <w:r>
        <w:rPr>
          <w:noProof/>
        </w:rPr>
        <w:t>3.</w:t>
      </w:r>
      <w:r>
        <w:rPr>
          <w:noProof/>
        </w:rPr>
        <w:tab/>
        <w:t>„preverovanie“ je postup, ktorý umožňuje posúdiť, prešetriť, povoliť, podmieniť, zakázať alebo zrušiť priame zahraničné investície</w:t>
      </w:r>
      <w:r>
        <w:rPr>
          <w:noProof/>
        </w:rPr>
        <w:t>;</w:t>
      </w:r>
    </w:p>
    <w:p w:rsidR="00B90EE1" w:rsidRDefault="003A231F">
      <w:pPr>
        <w:pStyle w:val="ManualNumPar1"/>
        <w:rPr>
          <w:noProof/>
        </w:rPr>
      </w:pPr>
      <w:r>
        <w:rPr>
          <w:noProof/>
        </w:rPr>
        <w:lastRenderedPageBreak/>
        <w:t>4.</w:t>
      </w:r>
      <w:r>
        <w:rPr>
          <w:noProof/>
        </w:rPr>
        <w:tab/>
        <w:t>„mechanizmus preverovania“ je všeobecne použiteľný nástroj, ako napríklad zákon alebo nariadenie, a sprievodné administratívne požiadavky, vykonávacie predpisy alebo usmernenia, v ktorých sa uvádzajú podmienky a postupy na preverovanie priamych zahran</w:t>
      </w:r>
      <w:r>
        <w:rPr>
          <w:noProof/>
        </w:rPr>
        <w:t>ičných investícií z hľadiska bezpečnosti alebo verejného poriadku;</w:t>
      </w:r>
    </w:p>
    <w:p w:rsidR="00B90EE1" w:rsidRDefault="003A231F">
      <w:pPr>
        <w:pStyle w:val="ManualNumPar1"/>
        <w:rPr>
          <w:noProof/>
        </w:rPr>
      </w:pPr>
      <w:r>
        <w:rPr>
          <w:noProof/>
        </w:rPr>
        <w:t>5.</w:t>
      </w:r>
      <w:r>
        <w:rPr>
          <w:noProof/>
        </w:rPr>
        <w:tab/>
        <w:t>„rozhodnutie o preverení“ je opatrenie prijaté pri uplatňovaní mechanizmu preverovania;</w:t>
      </w:r>
    </w:p>
    <w:p w:rsidR="00B90EE1" w:rsidRDefault="003A231F">
      <w:pPr>
        <w:pStyle w:val="ManualNumPar1"/>
        <w:rPr>
          <w:noProof/>
        </w:rPr>
      </w:pPr>
      <w:r>
        <w:rPr>
          <w:noProof/>
        </w:rPr>
        <w:t>6.</w:t>
      </w:r>
      <w:r>
        <w:rPr>
          <w:noProof/>
        </w:rPr>
        <w:tab/>
        <w:t>„podnik z tretej krajiny“ je podnik založený alebo inak zriadený podľa právnych predpisov trete</w:t>
      </w:r>
      <w:r>
        <w:rPr>
          <w:noProof/>
        </w:rPr>
        <w:t>j krajiny.</w:t>
      </w:r>
    </w:p>
    <w:p w:rsidR="00B90EE1" w:rsidRDefault="003A231F">
      <w:pPr>
        <w:pStyle w:val="Titrearticle"/>
        <w:rPr>
          <w:noProof/>
        </w:rPr>
      </w:pPr>
      <w:r>
        <w:rPr>
          <w:noProof/>
        </w:rPr>
        <w:t>Článok 3</w:t>
      </w:r>
    </w:p>
    <w:p w:rsidR="00B90EE1" w:rsidRDefault="003A231F">
      <w:pPr>
        <w:keepNext/>
        <w:jc w:val="center"/>
        <w:rPr>
          <w:b/>
          <w:bCs/>
          <w:noProof/>
        </w:rPr>
      </w:pPr>
      <w:r>
        <w:rPr>
          <w:b/>
          <w:noProof/>
        </w:rPr>
        <w:t>Preverovanie priamych zahraničných investícií</w:t>
      </w:r>
    </w:p>
    <w:p w:rsidR="00B90EE1" w:rsidRDefault="003A231F">
      <w:pPr>
        <w:pStyle w:val="ManualNumPar1"/>
        <w:rPr>
          <w:noProof/>
        </w:rPr>
      </w:pPr>
      <w:r>
        <w:rPr>
          <w:noProof/>
        </w:rPr>
        <w:t>1.</w:t>
      </w:r>
      <w:r>
        <w:rPr>
          <w:noProof/>
        </w:rPr>
        <w:tab/>
        <w:t>Členské štáty si môžu zachovať zavedené mechanizmy na preverovanie priamych zahraničných investícií z hľadiska bezpečnosti alebo verejného poriadku, zmeniť ich alebo prijať za podmienok s</w:t>
      </w:r>
      <w:r>
        <w:rPr>
          <w:noProof/>
        </w:rPr>
        <w:t>tanovených v tomto nariadení a v súlade s ním.</w:t>
      </w:r>
    </w:p>
    <w:p w:rsidR="00B90EE1" w:rsidRDefault="003A231F">
      <w:pPr>
        <w:pStyle w:val="ManualNumPar1"/>
        <w:rPr>
          <w:noProof/>
        </w:rPr>
      </w:pPr>
      <w:r>
        <w:rPr>
          <w:noProof/>
        </w:rPr>
        <w:t>2.</w:t>
      </w:r>
      <w:r>
        <w:rPr>
          <w:noProof/>
        </w:rPr>
        <w:tab/>
        <w:t>Komisia môže z hľadiska bezpečnosti alebo verejného poriadku preverovať priame zahraničné investície, ktoré môžu mať vplyv na projekty alebo programy v záujme Únie.</w:t>
      </w:r>
    </w:p>
    <w:p w:rsidR="00B90EE1" w:rsidRDefault="003A231F">
      <w:pPr>
        <w:pStyle w:val="ManualNumPar1"/>
        <w:rPr>
          <w:noProof/>
        </w:rPr>
      </w:pPr>
      <w:r>
        <w:rPr>
          <w:noProof/>
        </w:rPr>
        <w:t>3.</w:t>
      </w:r>
      <w:r>
        <w:rPr>
          <w:noProof/>
        </w:rPr>
        <w:tab/>
        <w:t xml:space="preserve">K projektom alebo programom v záujme </w:t>
      </w:r>
      <w:r>
        <w:rPr>
          <w:noProof/>
        </w:rPr>
        <w:t>Únie patria najmä projekty alebo programy, na financovaní ktorých sa veľkou sumou alebo významnou časťou podieľa EÚ alebo na ktoré sa vzťahujú právne predpisy Únie týkajúce sa kritickej infraštruktúry, kritických technológií či kritických vstupov. Orientač</w:t>
      </w:r>
      <w:r>
        <w:rPr>
          <w:noProof/>
        </w:rPr>
        <w:t>ný zoznam projektov alebo programov v záujme Únie sa uvádza v prílohe 1.</w:t>
      </w:r>
    </w:p>
    <w:p w:rsidR="00B90EE1" w:rsidRDefault="003A231F">
      <w:pPr>
        <w:pStyle w:val="Titrearticle"/>
        <w:rPr>
          <w:noProof/>
        </w:rPr>
      </w:pPr>
      <w:r>
        <w:rPr>
          <w:noProof/>
        </w:rPr>
        <w:t>Článok 4</w:t>
      </w:r>
    </w:p>
    <w:p w:rsidR="00B90EE1" w:rsidRDefault="003A231F">
      <w:pPr>
        <w:keepNext/>
        <w:jc w:val="center"/>
        <w:rPr>
          <w:b/>
          <w:bCs/>
          <w:noProof/>
        </w:rPr>
      </w:pPr>
      <w:r>
        <w:rPr>
          <w:b/>
          <w:noProof/>
        </w:rPr>
        <w:t>Faktory, ktoré možno zvážiť pri preverovaní</w:t>
      </w:r>
    </w:p>
    <w:p w:rsidR="00B90EE1" w:rsidRDefault="003A231F">
      <w:pPr>
        <w:rPr>
          <w:noProof/>
        </w:rPr>
      </w:pPr>
      <w:r>
        <w:rPr>
          <w:noProof/>
        </w:rPr>
        <w:t>Členské štáty a Komisia môžu pri preverovaní priamej zahraničnej investície z hľadiska bezpečnosti alebo verejného poriadku zvážiť</w:t>
      </w:r>
      <w:r>
        <w:rPr>
          <w:noProof/>
        </w:rPr>
        <w:t xml:space="preserve"> jej prípadné účinky napríklad na:</w:t>
      </w:r>
    </w:p>
    <w:p w:rsidR="00B90EE1" w:rsidRDefault="003A231F">
      <w:pPr>
        <w:pStyle w:val="Tiret0"/>
        <w:numPr>
          <w:ilvl w:val="0"/>
          <w:numId w:val="12"/>
        </w:numPr>
        <w:rPr>
          <w:noProof/>
        </w:rPr>
      </w:pPr>
      <w:r>
        <w:rPr>
          <w:noProof/>
        </w:rPr>
        <w:t>kritickú infraštruktúru vrátane energetiky, dopravy, komunikácií, uchovávanie údajov, vesmírnu alebo finančnú infraštruktúru, ako aj citlivé zariadenia,</w:t>
      </w:r>
    </w:p>
    <w:p w:rsidR="00B90EE1" w:rsidRDefault="003A231F">
      <w:pPr>
        <w:pStyle w:val="Tiret0"/>
        <w:rPr>
          <w:noProof/>
        </w:rPr>
      </w:pPr>
      <w:r>
        <w:rPr>
          <w:noProof/>
        </w:rPr>
        <w:t xml:space="preserve">kritické technológie vrátane umelej inteligencie, robotiky, </w:t>
      </w:r>
      <w:r>
        <w:rPr>
          <w:noProof/>
        </w:rPr>
        <w:t>polovodičov, technológií s aplikáciami možného dvojakého použitia, kybernetickej bezpečnosti, vesmírnej alebo jadrovej technológie,</w:t>
      </w:r>
    </w:p>
    <w:p w:rsidR="00B90EE1" w:rsidRDefault="003A231F">
      <w:pPr>
        <w:pStyle w:val="Tiret0"/>
        <w:rPr>
          <w:noProof/>
        </w:rPr>
      </w:pPr>
      <w:r>
        <w:rPr>
          <w:noProof/>
        </w:rPr>
        <w:t>bezpečnosť dodávok kritických vstupov alebo</w:t>
      </w:r>
    </w:p>
    <w:p w:rsidR="00B90EE1" w:rsidRDefault="003A231F">
      <w:pPr>
        <w:pStyle w:val="Tiret0"/>
        <w:rPr>
          <w:noProof/>
        </w:rPr>
      </w:pPr>
      <w:r>
        <w:rPr>
          <w:noProof/>
        </w:rPr>
        <w:t>prístup k citlivým informáciám alebo schopnosť kontrolovať citlivé informácie.</w:t>
      </w:r>
    </w:p>
    <w:p w:rsidR="00B90EE1" w:rsidRDefault="003A231F">
      <w:pPr>
        <w:rPr>
          <w:noProof/>
        </w:rPr>
      </w:pPr>
      <w:r>
        <w:rPr>
          <w:noProof/>
        </w:rPr>
        <w:t>P</w:t>
      </w:r>
      <w:r>
        <w:rPr>
          <w:noProof/>
        </w:rPr>
        <w:t>ri určovaní toho, či priama zahraničná investícia môže mať vplyv na bezpečnosť alebo verejný poriadok, môžu členské štáty a Komisia zohľadniť, či je zahraničný investor pod kontrolou vlády tretej krajiny, a to aj formou poskytovania značných finančných pro</w:t>
      </w:r>
      <w:r>
        <w:rPr>
          <w:noProof/>
        </w:rPr>
        <w:t>striedkov.</w:t>
      </w:r>
    </w:p>
    <w:p w:rsidR="00B90EE1" w:rsidRDefault="003A231F">
      <w:pPr>
        <w:pStyle w:val="Titrearticle"/>
        <w:rPr>
          <w:noProof/>
        </w:rPr>
      </w:pPr>
      <w:r>
        <w:rPr>
          <w:noProof/>
        </w:rPr>
        <w:t>Článok 5</w:t>
      </w:r>
    </w:p>
    <w:p w:rsidR="00B90EE1" w:rsidRDefault="003A231F">
      <w:pPr>
        <w:keepNext/>
        <w:jc w:val="center"/>
        <w:rPr>
          <w:b/>
          <w:bCs/>
          <w:noProof/>
        </w:rPr>
      </w:pPr>
      <w:r>
        <w:rPr>
          <w:b/>
          <w:noProof/>
        </w:rPr>
        <w:t>Opatrenia proti obchádzaniu</w:t>
      </w:r>
    </w:p>
    <w:p w:rsidR="00B90EE1" w:rsidRDefault="003A231F">
      <w:pPr>
        <w:rPr>
          <w:noProof/>
        </w:rPr>
      </w:pPr>
      <w:r>
        <w:rPr>
          <w:noProof/>
        </w:rPr>
        <w:t>Členské štáty si môžu ponechať opatrenia potrebné na zabránenie obchádzaniu mechanizmov na preverovanie a rozhodnutí o preverení, môžu ich meniť alebo prijímať.</w:t>
      </w:r>
    </w:p>
    <w:p w:rsidR="00B90EE1" w:rsidRDefault="003A231F">
      <w:pPr>
        <w:pStyle w:val="Titrearticle"/>
        <w:rPr>
          <w:noProof/>
        </w:rPr>
      </w:pPr>
      <w:r>
        <w:rPr>
          <w:noProof/>
        </w:rPr>
        <w:lastRenderedPageBreak/>
        <w:t>Článok 6</w:t>
      </w:r>
    </w:p>
    <w:p w:rsidR="00B90EE1" w:rsidRDefault="003A231F">
      <w:pPr>
        <w:keepNext/>
        <w:jc w:val="center"/>
        <w:rPr>
          <w:b/>
          <w:bCs/>
          <w:noProof/>
        </w:rPr>
      </w:pPr>
      <w:r>
        <w:rPr>
          <w:b/>
          <w:noProof/>
        </w:rPr>
        <w:t>Rámec pre preverovanie členskými štátm</w:t>
      </w:r>
      <w:r>
        <w:rPr>
          <w:b/>
          <w:noProof/>
        </w:rPr>
        <w:t>i</w:t>
      </w:r>
    </w:p>
    <w:p w:rsidR="00B90EE1" w:rsidRDefault="003A231F">
      <w:pPr>
        <w:pStyle w:val="ManualNumPar1"/>
        <w:rPr>
          <w:noProof/>
        </w:rPr>
      </w:pPr>
      <w:r>
        <w:rPr>
          <w:noProof/>
        </w:rPr>
        <w:t>1.</w:t>
      </w:r>
      <w:r>
        <w:rPr>
          <w:noProof/>
        </w:rPr>
        <w:tab/>
        <w:t>Mechanizmy preverovania členských štátov musia byť transparentné a nesmú diskriminovať jednotlivé tretie krajiny. Členské štáty stanovia predovšetkým okolnosti vedúce k preverovaniu, dôvody na preverovanie a uplatniteľné podrobné procesné pravidlá.</w:t>
      </w:r>
    </w:p>
    <w:p w:rsidR="00B90EE1" w:rsidRDefault="003A231F">
      <w:pPr>
        <w:pStyle w:val="ManualNumPar1"/>
        <w:rPr>
          <w:noProof/>
        </w:rPr>
      </w:pPr>
      <w:r>
        <w:rPr>
          <w:noProof/>
        </w:rPr>
        <w:t>2.</w:t>
      </w:r>
      <w:r>
        <w:rPr>
          <w:noProof/>
        </w:rPr>
        <w:tab/>
        <w:t>Členské štáty stanovia lehoty na vydávanie rozhodnutí o preverení. Takéto lehoty im umožnia zohľadniť pripomienky členských štátov uvedené v článku 8 a stanovisko Komisie uvedené v článkoch 8 a 9.</w:t>
      </w:r>
    </w:p>
    <w:p w:rsidR="00B90EE1" w:rsidRDefault="003A231F">
      <w:pPr>
        <w:pStyle w:val="ManualNumPar1"/>
        <w:rPr>
          <w:noProof/>
        </w:rPr>
      </w:pPr>
      <w:r>
        <w:rPr>
          <w:noProof/>
        </w:rPr>
        <w:t>3.</w:t>
      </w:r>
      <w:r>
        <w:rPr>
          <w:noProof/>
        </w:rPr>
        <w:tab/>
        <w:t>Dôverné informácie vrátane citlivých obchodných informá</w:t>
      </w:r>
      <w:r>
        <w:rPr>
          <w:noProof/>
        </w:rPr>
        <w:t>cií, ktoré sprístupnili zahraniční investori a dotknutý podnik, sú chránené.</w:t>
      </w:r>
    </w:p>
    <w:p w:rsidR="00B90EE1" w:rsidRDefault="003A231F">
      <w:pPr>
        <w:pStyle w:val="ManualNumPar1"/>
        <w:rPr>
          <w:noProof/>
        </w:rPr>
      </w:pPr>
      <w:r>
        <w:rPr>
          <w:noProof/>
        </w:rPr>
        <w:t>4.</w:t>
      </w:r>
      <w:r>
        <w:rPr>
          <w:noProof/>
        </w:rPr>
        <w:tab/>
        <w:t>Zahraniční investori a dotknuté podniky majú možnosť uplatniť si súdny prostriedok nápravy voči rozhodnutiam vnútroštátnych orgánov o preverení.</w:t>
      </w:r>
    </w:p>
    <w:p w:rsidR="00B90EE1" w:rsidRDefault="003A231F">
      <w:pPr>
        <w:pStyle w:val="Titrearticle"/>
        <w:rPr>
          <w:noProof/>
        </w:rPr>
      </w:pPr>
      <w:r>
        <w:rPr>
          <w:noProof/>
        </w:rPr>
        <w:t>Článok 7</w:t>
      </w:r>
    </w:p>
    <w:p w:rsidR="00B90EE1" w:rsidRDefault="003A231F">
      <w:pPr>
        <w:keepNext/>
        <w:jc w:val="center"/>
        <w:rPr>
          <w:b/>
          <w:bCs/>
          <w:noProof/>
        </w:rPr>
      </w:pPr>
      <w:r>
        <w:rPr>
          <w:b/>
          <w:noProof/>
        </w:rPr>
        <w:t>Oznamovanie mechanizmo</w:t>
      </w:r>
      <w:r>
        <w:rPr>
          <w:b/>
          <w:noProof/>
        </w:rPr>
        <w:t>v preverovania členskými štátmi a každoročné podávanie správ</w:t>
      </w:r>
    </w:p>
    <w:p w:rsidR="00B90EE1" w:rsidRDefault="003A231F">
      <w:pPr>
        <w:pStyle w:val="ManualNumPar1"/>
        <w:rPr>
          <w:noProof/>
        </w:rPr>
      </w:pPr>
      <w:r>
        <w:rPr>
          <w:noProof/>
        </w:rPr>
        <w:t>1.</w:t>
      </w:r>
      <w:r>
        <w:rPr>
          <w:noProof/>
        </w:rPr>
        <w:tab/>
        <w:t>Členské štáty oznámia Komisii svoje existujúce mechanizmy preverovania najneskôr do […] (</w:t>
      </w:r>
      <w:r>
        <w:rPr>
          <w:i/>
          <w:noProof/>
        </w:rPr>
        <w:t>30 dní po nadobudnutí účinnosti tohto nariadenia</w:t>
      </w:r>
      <w:r>
        <w:rPr>
          <w:noProof/>
        </w:rPr>
        <w:t>). Členské štáty oznámia Komisii každú zmenu existujúce</w:t>
      </w:r>
      <w:r>
        <w:rPr>
          <w:noProof/>
        </w:rPr>
        <w:t>ho mechanizmu preverovania alebo každý novoprijatý mechanizmus preverovania najneskôr do 30 dní odo dňa nadobudnutia účinnosti daného mechanizmu preverovania.</w:t>
      </w:r>
    </w:p>
    <w:p w:rsidR="00B90EE1" w:rsidRDefault="003A231F">
      <w:pPr>
        <w:pStyle w:val="ManualNumPar1"/>
        <w:rPr>
          <w:noProof/>
        </w:rPr>
      </w:pPr>
      <w:r>
        <w:rPr>
          <w:noProof/>
        </w:rPr>
        <w:t>2.</w:t>
      </w:r>
      <w:r>
        <w:rPr>
          <w:noProof/>
        </w:rPr>
        <w:tab/>
        <w:t>Členské štáty, ktoré majú zavedené mechanizmy preverovania, podávajú Komisii o uplatňovaní svo</w:t>
      </w:r>
      <w:r>
        <w:rPr>
          <w:noProof/>
        </w:rPr>
        <w:t>jich mechanizmov preverovania výročnú správu. Správa obsahuje za každé vykazované obdobie predovšetkým údaje o:</w:t>
      </w:r>
    </w:p>
    <w:p w:rsidR="00B90EE1" w:rsidRDefault="003A231F">
      <w:pPr>
        <w:pStyle w:val="Point1"/>
        <w:rPr>
          <w:noProof/>
        </w:rPr>
      </w:pPr>
      <w:r>
        <w:rPr>
          <w:noProof/>
        </w:rPr>
        <w:t>a)</w:t>
      </w:r>
      <w:r>
        <w:rPr>
          <w:noProof/>
        </w:rPr>
        <w:tab/>
        <w:t>priamych zahraničných investíciách, ktoré boli preverené a ktoré sa preverujú;</w:t>
      </w:r>
    </w:p>
    <w:p w:rsidR="00B90EE1" w:rsidRDefault="003A231F">
      <w:pPr>
        <w:pStyle w:val="Point1"/>
        <w:rPr>
          <w:noProof/>
        </w:rPr>
      </w:pPr>
      <w:r>
        <w:rPr>
          <w:noProof/>
        </w:rPr>
        <w:t>b)</w:t>
      </w:r>
      <w:r>
        <w:rPr>
          <w:noProof/>
        </w:rPr>
        <w:tab/>
        <w:t>rozhodnutiach o preverení, ktorými sa priame zahraničné inv</w:t>
      </w:r>
      <w:r>
        <w:rPr>
          <w:noProof/>
        </w:rPr>
        <w:t>estície zakazujú;</w:t>
      </w:r>
    </w:p>
    <w:p w:rsidR="00B90EE1" w:rsidRDefault="003A231F">
      <w:pPr>
        <w:pStyle w:val="Point1"/>
        <w:rPr>
          <w:noProof/>
        </w:rPr>
      </w:pPr>
      <w:r>
        <w:rPr>
          <w:noProof/>
        </w:rPr>
        <w:t>c)</w:t>
      </w:r>
      <w:r>
        <w:rPr>
          <w:noProof/>
        </w:rPr>
        <w:tab/>
        <w:t>rozhodnutiach o preverení, ktorými sa priame zahraničné investície podriaďujú podmienkam alebo opatreniam na zmiernenie ich rizika;</w:t>
      </w:r>
    </w:p>
    <w:p w:rsidR="00B90EE1" w:rsidRDefault="003A231F">
      <w:pPr>
        <w:pStyle w:val="Point1"/>
        <w:rPr>
          <w:noProof/>
        </w:rPr>
      </w:pPr>
      <w:r>
        <w:rPr>
          <w:noProof/>
        </w:rPr>
        <w:t>d)</w:t>
      </w:r>
      <w:r>
        <w:rPr>
          <w:noProof/>
        </w:rPr>
        <w:tab/>
        <w:t>odvetviach, pôvode a hodnote priamej zahraničnej investície, ktorá bola preverená a ktorá sa preveru</w:t>
      </w:r>
      <w:r>
        <w:rPr>
          <w:noProof/>
        </w:rPr>
        <w:t>je.</w:t>
      </w:r>
    </w:p>
    <w:p w:rsidR="00B90EE1" w:rsidRDefault="003A231F">
      <w:pPr>
        <w:pStyle w:val="ManualNumPar1"/>
        <w:rPr>
          <w:noProof/>
        </w:rPr>
      </w:pPr>
      <w:r>
        <w:rPr>
          <w:noProof/>
        </w:rPr>
        <w:t>3.</w:t>
      </w:r>
      <w:r>
        <w:rPr>
          <w:noProof/>
        </w:rPr>
        <w:tab/>
        <w:t>Členské štáty, ktoré nemajú zavedené mechanizmy preverovania, podávajú Komisii výročnú správu o priamych zahraničných investíciách, ktoré sa vykonali na ich území, na základe informácií, ktoré majú k dispozícii.</w:t>
      </w:r>
    </w:p>
    <w:p w:rsidR="00B90EE1" w:rsidRDefault="003A231F">
      <w:pPr>
        <w:pStyle w:val="Titrearticle"/>
        <w:rPr>
          <w:noProof/>
        </w:rPr>
      </w:pPr>
      <w:r>
        <w:rPr>
          <w:noProof/>
        </w:rPr>
        <w:t>Článok 8</w:t>
      </w:r>
    </w:p>
    <w:p w:rsidR="00B90EE1" w:rsidRDefault="003A231F">
      <w:pPr>
        <w:jc w:val="center"/>
        <w:rPr>
          <w:b/>
          <w:bCs/>
          <w:noProof/>
        </w:rPr>
      </w:pPr>
      <w:r>
        <w:rPr>
          <w:b/>
          <w:noProof/>
        </w:rPr>
        <w:t>Mechanizmus spolupráce</w:t>
      </w:r>
    </w:p>
    <w:p w:rsidR="00B90EE1" w:rsidRDefault="003A231F">
      <w:pPr>
        <w:pStyle w:val="ManualNumPar1"/>
        <w:rPr>
          <w:noProof/>
        </w:rPr>
      </w:pPr>
      <w:r>
        <w:rPr>
          <w:noProof/>
        </w:rPr>
        <w:t>1.</w:t>
      </w:r>
      <w:r>
        <w:rPr>
          <w:noProof/>
        </w:rPr>
        <w:tab/>
        <w:t>Čl</w:t>
      </w:r>
      <w:r>
        <w:rPr>
          <w:noProof/>
        </w:rPr>
        <w:t>enské štáty informujú Komisiu a ostatné členské štáty o všetkých priamych zahraničných investíciách, ktoré sa preverujú v rámci ich mechanizmov preverovania, a to do piatich pracovných dní od začiatku preverovania. Preverujúce členské štáty sa v rámci tých</w:t>
      </w:r>
      <w:r>
        <w:rPr>
          <w:noProof/>
        </w:rPr>
        <w:t>to informácií, ak je to vhodné, snažia uviesť, či sa domnievajú, že preverovaná priama zahraničná investícia pravdepodobne patrí do rozsahu pôsobnosti nariadenia (ES) č. 139/2004.</w:t>
      </w:r>
    </w:p>
    <w:p w:rsidR="00B90EE1" w:rsidRDefault="003A231F">
      <w:pPr>
        <w:pStyle w:val="ManualNumPar1"/>
        <w:rPr>
          <w:noProof/>
        </w:rPr>
      </w:pPr>
      <w:r>
        <w:rPr>
          <w:noProof/>
        </w:rPr>
        <w:lastRenderedPageBreak/>
        <w:t>2.</w:t>
      </w:r>
      <w:r>
        <w:rPr>
          <w:noProof/>
        </w:rPr>
        <w:tab/>
        <w:t xml:space="preserve">Keď sa členský štát domnieva, že priama zahraničná investícia plánovaná </w:t>
      </w:r>
      <w:r>
        <w:rPr>
          <w:noProof/>
        </w:rPr>
        <w:t>alebo zrealizovaná v inom členskom štáte by mohla mať vplyv na jeho bezpečnosť alebo verejný poriadok, môže predložiť pripomienky členskému štátu, v ktorom sa daná priama zahraničná investícia plánuje alebo sa zrealizovala. Tieto pripomienky sa súčasne pos</w:t>
      </w:r>
      <w:r>
        <w:rPr>
          <w:noProof/>
        </w:rPr>
        <w:t>túpia Komisii.</w:t>
      </w:r>
    </w:p>
    <w:p w:rsidR="00B90EE1" w:rsidRDefault="003A231F">
      <w:pPr>
        <w:pStyle w:val="ManualNumPar1"/>
        <w:rPr>
          <w:noProof/>
        </w:rPr>
      </w:pPr>
      <w:r>
        <w:rPr>
          <w:noProof/>
        </w:rPr>
        <w:t>3.</w:t>
      </w:r>
      <w:r>
        <w:rPr>
          <w:noProof/>
        </w:rPr>
        <w:tab/>
        <w:t>Keď sa Komisia domnieva, že priama zahraničná investícia by mohla mať vplyv na bezpečnosť alebo verejný poriadok v jednom alebo vo viacerých členských štátoch, môže vydať stanovisko učené členskému štátu, v ktorom sa táto priama zahraničn</w:t>
      </w:r>
      <w:r>
        <w:rPr>
          <w:noProof/>
        </w:rPr>
        <w:t>á investícia plánuje alebo sa zrealizovala. Komisia môže vydať stanovisko bez ohľadu na to, či iné členské štáty predložili pripomienky.</w:t>
      </w:r>
    </w:p>
    <w:p w:rsidR="00B90EE1" w:rsidRDefault="003A231F">
      <w:pPr>
        <w:pStyle w:val="ManualNumPar1"/>
        <w:rPr>
          <w:noProof/>
        </w:rPr>
      </w:pPr>
      <w:r>
        <w:rPr>
          <w:noProof/>
        </w:rPr>
        <w:t>4.</w:t>
      </w:r>
      <w:r>
        <w:rPr>
          <w:noProof/>
        </w:rPr>
        <w:tab/>
        <w:t>Keď sa Komisia alebo členský štát náležite domnievajú, že priama zahraničná investícia by mohla mať vplyv na bezpečn</w:t>
      </w:r>
      <w:r>
        <w:rPr>
          <w:noProof/>
        </w:rPr>
        <w:t>osť alebo verejný poriadok, môžu požiadať členský štát, v ktorom sa táto priama zahraničná investícia plánuje alebo sa zrealizovala, o akékoľvek informácie potrebné na pripomienkovanie uvedené v odseku 2 alebo na vydanie stanoviska uvedeného v odseku 3.</w:t>
      </w:r>
    </w:p>
    <w:p w:rsidR="00B90EE1" w:rsidRDefault="003A231F">
      <w:pPr>
        <w:pStyle w:val="ManualNumPar1"/>
        <w:rPr>
          <w:noProof/>
        </w:rPr>
      </w:pPr>
      <w:r>
        <w:rPr>
          <w:noProof/>
        </w:rPr>
        <w:t>5.</w:t>
      </w:r>
      <w:r>
        <w:rPr>
          <w:noProof/>
        </w:rPr>
        <w:tab/>
        <w:t>Pripomienky podľa odseku 2 alebo stanoviská podľa odseku 3 sa adresujú členskému štátu, v ktorom sa priama zahraničná investícia plánuje alebo sa zrealizovala, a to v primeranej lehote a v žiadnom prípade nie neskôr ako 25 pracovných dní po doručení infor</w:t>
      </w:r>
      <w:r>
        <w:rPr>
          <w:noProof/>
        </w:rPr>
        <w:t>mácií uvedených v odsekoch 1 alebo 4. Keď stanovisko Komisie nadväzuje na pripomienky od iných členských štátov, Komisia má na vydanie stanoviska ďalších 25 pracovných dní.</w:t>
      </w:r>
    </w:p>
    <w:p w:rsidR="00B90EE1" w:rsidRDefault="003A231F">
      <w:pPr>
        <w:pStyle w:val="ManualNumPar1"/>
        <w:rPr>
          <w:noProof/>
        </w:rPr>
      </w:pPr>
      <w:r>
        <w:rPr>
          <w:noProof/>
        </w:rPr>
        <w:t>6.</w:t>
      </w:r>
      <w:r>
        <w:rPr>
          <w:noProof/>
        </w:rPr>
        <w:tab/>
        <w:t>Členské štáty, v ktorých sa priama zahraničná investícia plánuje alebo sa zreali</w:t>
      </w:r>
      <w:r>
        <w:rPr>
          <w:noProof/>
        </w:rPr>
        <w:t>zovala, náležite zohľadnia pripomienky ostatných členských štátov uvedené v odseku 2 a stanovisko Komisie uvedené v odseku 3.</w:t>
      </w:r>
    </w:p>
    <w:p w:rsidR="00B90EE1" w:rsidRDefault="003A231F">
      <w:pPr>
        <w:pStyle w:val="ManualNumPar1"/>
        <w:rPr>
          <w:noProof/>
        </w:rPr>
      </w:pPr>
      <w:r>
        <w:rPr>
          <w:noProof/>
        </w:rPr>
        <w:t>7.</w:t>
      </w:r>
      <w:r>
        <w:rPr>
          <w:noProof/>
        </w:rPr>
        <w:tab/>
        <w:t>Spolupráca medzi členskými štátmi podľa tohto článku sa uskutočňuje prostredníctvom kontaktných miest uvedených v článku 12.</w:t>
      </w:r>
    </w:p>
    <w:p w:rsidR="00B90EE1" w:rsidRDefault="003A231F">
      <w:pPr>
        <w:pStyle w:val="Titrearticle"/>
        <w:rPr>
          <w:noProof/>
        </w:rPr>
      </w:pPr>
      <w:r>
        <w:rPr>
          <w:noProof/>
        </w:rPr>
        <w:t>Čl</w:t>
      </w:r>
      <w:r>
        <w:rPr>
          <w:noProof/>
        </w:rPr>
        <w:t>ánok 9</w:t>
      </w:r>
    </w:p>
    <w:p w:rsidR="00B90EE1" w:rsidRDefault="003A231F">
      <w:pPr>
        <w:keepNext/>
        <w:jc w:val="center"/>
        <w:rPr>
          <w:b/>
          <w:noProof/>
        </w:rPr>
      </w:pPr>
      <w:r>
        <w:rPr>
          <w:b/>
          <w:noProof/>
        </w:rPr>
        <w:t>Rámec na preverovanie Komisiou</w:t>
      </w:r>
    </w:p>
    <w:p w:rsidR="00B90EE1" w:rsidRDefault="003A231F">
      <w:pPr>
        <w:pStyle w:val="ManualNumPar1"/>
        <w:rPr>
          <w:noProof/>
        </w:rPr>
      </w:pPr>
      <w:r>
        <w:rPr>
          <w:noProof/>
        </w:rPr>
        <w:t>1.</w:t>
      </w:r>
      <w:r>
        <w:rPr>
          <w:noProof/>
        </w:rPr>
        <w:tab/>
        <w:t>Keď sa Komisia domnieva, že priama zahraničná investícia by mohla mať z hľadiska bezpečnosti alebo verejného poriadku vplyv na projekty alebo programy v záujme Únie, môže vydať stanovisko určené členskému štátu, v k</w:t>
      </w:r>
      <w:r>
        <w:rPr>
          <w:noProof/>
        </w:rPr>
        <w:t>torom sa táto priama zahraničná investícia plánuje alebo sa zrealizovala.</w:t>
      </w:r>
    </w:p>
    <w:p w:rsidR="00B90EE1" w:rsidRDefault="003A231F">
      <w:pPr>
        <w:pStyle w:val="ManualNumPar1"/>
        <w:rPr>
          <w:noProof/>
        </w:rPr>
      </w:pPr>
      <w:r>
        <w:rPr>
          <w:noProof/>
        </w:rPr>
        <w:t>2.</w:t>
      </w:r>
      <w:r>
        <w:rPr>
          <w:noProof/>
        </w:rPr>
        <w:tab/>
        <w:t>Komisia môže požiadať členský štát, v ktorom sa priama zahraničná investícia plánuje alebo sa zrealizovala, o všetky informácie, ktoré potrebuje na vydanie stanoviska uvedeného v </w:t>
      </w:r>
      <w:r>
        <w:rPr>
          <w:noProof/>
        </w:rPr>
        <w:t>odseku 1.</w:t>
      </w:r>
    </w:p>
    <w:p w:rsidR="00B90EE1" w:rsidRDefault="003A231F">
      <w:pPr>
        <w:pStyle w:val="ManualNumPar1"/>
        <w:rPr>
          <w:noProof/>
        </w:rPr>
      </w:pPr>
      <w:r>
        <w:rPr>
          <w:noProof/>
        </w:rPr>
        <w:t>3.</w:t>
      </w:r>
      <w:r>
        <w:rPr>
          <w:noProof/>
        </w:rPr>
        <w:tab/>
        <w:t>Komisia adresuje svoje stanovisko dotknutému členskému štátu v primeranej lehote a v žiadnom prípade nie neskôr ako 25 pracovných dní po doručení informácií, o ktoré požiadala podľa odseku 2. Keď má členský štát zavedený mechanizmus preverovan</w:t>
      </w:r>
      <w:r>
        <w:rPr>
          <w:noProof/>
        </w:rPr>
        <w:t>ia podľa článku 3 ods. 1 a Komisii boli doručené informácie o preverovanej priamej zahraničnej investícii podľa článku 8 ods. 1, stanovisko sa vydá najneskôr 25 pracovných dní po doručení takýchto informácií. Keď sú na vydanie stanoviska potrebné dodatočné</w:t>
      </w:r>
      <w:r>
        <w:rPr>
          <w:noProof/>
        </w:rPr>
        <w:t xml:space="preserve"> informácie, daná 25-dňová lehota plynie odo dňa doručenia týchto dodatočných informácií.</w:t>
      </w:r>
    </w:p>
    <w:p w:rsidR="00B90EE1" w:rsidRDefault="003A231F">
      <w:pPr>
        <w:pStyle w:val="ManualNumPar1"/>
        <w:rPr>
          <w:noProof/>
        </w:rPr>
      </w:pPr>
      <w:r>
        <w:rPr>
          <w:noProof/>
        </w:rPr>
        <w:t>4.</w:t>
      </w:r>
      <w:r>
        <w:rPr>
          <w:noProof/>
        </w:rPr>
        <w:tab/>
        <w:t>Stanovisko Komisie sa oznámi ostatným členským štátom.</w:t>
      </w:r>
    </w:p>
    <w:p w:rsidR="00B90EE1" w:rsidRDefault="003A231F">
      <w:pPr>
        <w:pStyle w:val="ManualNumPar1"/>
        <w:rPr>
          <w:noProof/>
        </w:rPr>
      </w:pPr>
      <w:r>
        <w:rPr>
          <w:noProof/>
        </w:rPr>
        <w:lastRenderedPageBreak/>
        <w:t>5.</w:t>
      </w:r>
      <w:r>
        <w:rPr>
          <w:noProof/>
        </w:rPr>
        <w:tab/>
        <w:t xml:space="preserve">Členské štáty, v ktorých sa priama zahraničná investícia plánuje alebo sa zrealizovala, v čo najväčšej </w:t>
      </w:r>
      <w:r>
        <w:rPr>
          <w:noProof/>
        </w:rPr>
        <w:t>miere zohľadnia stanovisko Komisie, a ak stanovisku nevyhovejú, vysvetlia to Komisii.</w:t>
      </w:r>
    </w:p>
    <w:p w:rsidR="00B90EE1" w:rsidRDefault="003A231F">
      <w:pPr>
        <w:pStyle w:val="Titrearticle"/>
        <w:rPr>
          <w:noProof/>
        </w:rPr>
      </w:pPr>
      <w:r>
        <w:rPr>
          <w:noProof/>
        </w:rPr>
        <w:t>Článok 10</w:t>
      </w:r>
    </w:p>
    <w:p w:rsidR="00B90EE1" w:rsidRDefault="003A231F">
      <w:pPr>
        <w:keepNext/>
        <w:jc w:val="center"/>
        <w:rPr>
          <w:b/>
          <w:bCs/>
          <w:noProof/>
        </w:rPr>
      </w:pPr>
      <w:r>
        <w:rPr>
          <w:b/>
          <w:noProof/>
        </w:rPr>
        <w:t>Požiadavky v oblasti poskytovania informácií</w:t>
      </w:r>
    </w:p>
    <w:p w:rsidR="00B90EE1" w:rsidRDefault="003A231F">
      <w:pPr>
        <w:pStyle w:val="ManualNumPar1"/>
        <w:rPr>
          <w:noProof/>
        </w:rPr>
      </w:pPr>
      <w:r>
        <w:rPr>
          <w:noProof/>
        </w:rPr>
        <w:t>1.</w:t>
      </w:r>
      <w:r>
        <w:rPr>
          <w:noProof/>
        </w:rPr>
        <w:tab/>
        <w:t>Členské štáty zabezpečia, aby informácie, o ktoré Komisia a iné členské štáty požiadali podľa článku 8 ods. 4 a </w:t>
      </w:r>
      <w:r>
        <w:rPr>
          <w:noProof/>
        </w:rPr>
        <w:t>článku 9 ods. 2, mali Komisia a žiadajúce členské štáty bezodkladne k dispozícii.</w:t>
      </w:r>
    </w:p>
    <w:p w:rsidR="00B90EE1" w:rsidRDefault="003A231F">
      <w:pPr>
        <w:pStyle w:val="ManualNumPar1"/>
        <w:rPr>
          <w:noProof/>
        </w:rPr>
      </w:pPr>
      <w:r>
        <w:rPr>
          <w:noProof/>
        </w:rPr>
        <w:t>2.</w:t>
      </w:r>
      <w:r>
        <w:rPr>
          <w:noProof/>
        </w:rPr>
        <w:tab/>
        <w:t>K informáciám uvedeným v odseku 1 tohto článku patria najmä:</w:t>
      </w:r>
    </w:p>
    <w:p w:rsidR="00B90EE1" w:rsidRDefault="003A231F">
      <w:pPr>
        <w:pStyle w:val="Point1"/>
        <w:rPr>
          <w:noProof/>
        </w:rPr>
      </w:pPr>
      <w:r>
        <w:rPr>
          <w:noProof/>
        </w:rPr>
        <w:t>a)</w:t>
      </w:r>
      <w:r>
        <w:rPr>
          <w:noProof/>
        </w:rPr>
        <w:tab/>
        <w:t>vlastnícka štruktúra zahraničného investora a podniku, do ktorého sa priama zahraničná investícia plánuje a</w:t>
      </w:r>
      <w:r>
        <w:rPr>
          <w:noProof/>
        </w:rPr>
        <w:t>lebo v ktorom sa zrealizovala, vrátane informácií o ich konečnom ovládajúcom akcionárovi, resp. akcionároch;</w:t>
      </w:r>
    </w:p>
    <w:p w:rsidR="00B90EE1" w:rsidRDefault="003A231F">
      <w:pPr>
        <w:pStyle w:val="Point1"/>
        <w:rPr>
          <w:noProof/>
        </w:rPr>
      </w:pPr>
      <w:r>
        <w:rPr>
          <w:noProof/>
        </w:rPr>
        <w:t>b)</w:t>
      </w:r>
      <w:r>
        <w:rPr>
          <w:noProof/>
        </w:rPr>
        <w:tab/>
        <w:t>hodnota priamej zahraničnej investície;</w:t>
      </w:r>
    </w:p>
    <w:p w:rsidR="00B90EE1" w:rsidRDefault="003A231F">
      <w:pPr>
        <w:pStyle w:val="Point1"/>
        <w:rPr>
          <w:noProof/>
        </w:rPr>
      </w:pPr>
      <w:r>
        <w:rPr>
          <w:noProof/>
        </w:rPr>
        <w:t>c)</w:t>
      </w:r>
      <w:r>
        <w:rPr>
          <w:noProof/>
        </w:rPr>
        <w:tab/>
        <w:t>výrobky, služby a obchodné transakcie zahraničného investora a podniku, do ktorého sa priama zahranič</w:t>
      </w:r>
      <w:r>
        <w:rPr>
          <w:noProof/>
        </w:rPr>
        <w:t>ná investícia plánuje alebo v ktorom sa zrealizovala;</w:t>
      </w:r>
    </w:p>
    <w:p w:rsidR="00B90EE1" w:rsidRDefault="003A231F">
      <w:pPr>
        <w:pStyle w:val="Point1"/>
        <w:rPr>
          <w:noProof/>
        </w:rPr>
      </w:pPr>
      <w:r>
        <w:rPr>
          <w:noProof/>
        </w:rPr>
        <w:t>d)</w:t>
      </w:r>
      <w:r>
        <w:rPr>
          <w:noProof/>
        </w:rPr>
        <w:tab/>
        <w:t>členské štáty, v ktorých zahraničný investor a podnik, do ktorého sa priama zahraničná investícia plánuje alebo v ktorom sa zrealizovala, vykonáva obchodnú činnosť;</w:t>
      </w:r>
    </w:p>
    <w:p w:rsidR="00B90EE1" w:rsidRDefault="003A231F">
      <w:pPr>
        <w:pStyle w:val="Point1"/>
        <w:rPr>
          <w:noProof/>
        </w:rPr>
      </w:pPr>
      <w:r>
        <w:rPr>
          <w:noProof/>
        </w:rPr>
        <w:t>e)</w:t>
      </w:r>
      <w:r>
        <w:rPr>
          <w:noProof/>
        </w:rPr>
        <w:tab/>
        <w:t>financovanie investície na zákl</w:t>
      </w:r>
      <w:r>
        <w:rPr>
          <w:noProof/>
        </w:rPr>
        <w:t>ade informácií, ktoré má členský štát k dispozícii.</w:t>
      </w:r>
    </w:p>
    <w:p w:rsidR="00B90EE1" w:rsidRDefault="003A231F">
      <w:pPr>
        <w:pStyle w:val="Titrearticle"/>
        <w:rPr>
          <w:noProof/>
        </w:rPr>
      </w:pPr>
      <w:r>
        <w:rPr>
          <w:noProof/>
        </w:rPr>
        <w:t>Článok 11</w:t>
      </w:r>
    </w:p>
    <w:p w:rsidR="00B90EE1" w:rsidRDefault="003A231F">
      <w:pPr>
        <w:keepNext/>
        <w:jc w:val="center"/>
        <w:rPr>
          <w:b/>
          <w:bCs/>
          <w:noProof/>
        </w:rPr>
      </w:pPr>
      <w:r>
        <w:rPr>
          <w:b/>
          <w:noProof/>
        </w:rPr>
        <w:t>Zachovávanie dôvernosti</w:t>
      </w:r>
    </w:p>
    <w:p w:rsidR="00B90EE1" w:rsidRDefault="003A231F">
      <w:pPr>
        <w:pStyle w:val="ManualNumPar1"/>
        <w:rPr>
          <w:noProof/>
        </w:rPr>
      </w:pPr>
      <w:r>
        <w:rPr>
          <w:noProof/>
        </w:rPr>
        <w:t>1.</w:t>
      </w:r>
      <w:r>
        <w:rPr>
          <w:noProof/>
        </w:rPr>
        <w:tab/>
        <w:t>Informácie doručené v dôsledku uplatňovania tohto nariadenia sa používajú len na účely, na ktoré sa o ne požiadalo.</w:t>
      </w:r>
    </w:p>
    <w:p w:rsidR="00B90EE1" w:rsidRDefault="003A231F">
      <w:pPr>
        <w:pStyle w:val="ManualNumPar1"/>
        <w:rPr>
          <w:noProof/>
        </w:rPr>
      </w:pPr>
      <w:r>
        <w:rPr>
          <w:noProof/>
        </w:rPr>
        <w:t>2.</w:t>
      </w:r>
      <w:r>
        <w:rPr>
          <w:noProof/>
        </w:rPr>
        <w:tab/>
        <w:t>Členské štáty a Komisia zabezpečia ochranu dôver</w:t>
      </w:r>
      <w:r>
        <w:rPr>
          <w:noProof/>
        </w:rPr>
        <w:t>ných informácií získaných pri uplatňovaní tohto nariadenia.</w:t>
      </w:r>
    </w:p>
    <w:p w:rsidR="00B90EE1" w:rsidRDefault="003A231F">
      <w:pPr>
        <w:pStyle w:val="Titrearticle"/>
        <w:rPr>
          <w:noProof/>
        </w:rPr>
      </w:pPr>
      <w:r>
        <w:rPr>
          <w:noProof/>
        </w:rPr>
        <w:t>Článok 12</w:t>
      </w:r>
    </w:p>
    <w:p w:rsidR="00B90EE1" w:rsidRDefault="003A231F">
      <w:pPr>
        <w:keepNext/>
        <w:jc w:val="center"/>
        <w:rPr>
          <w:b/>
          <w:bCs/>
          <w:noProof/>
        </w:rPr>
      </w:pPr>
      <w:r>
        <w:rPr>
          <w:b/>
          <w:noProof/>
        </w:rPr>
        <w:t>Kontaktné miesta</w:t>
      </w:r>
    </w:p>
    <w:p w:rsidR="00B90EE1" w:rsidRDefault="003A231F">
      <w:pPr>
        <w:rPr>
          <w:noProof/>
        </w:rPr>
      </w:pPr>
      <w:r>
        <w:rPr>
          <w:noProof/>
        </w:rPr>
        <w:t xml:space="preserve">Každý členský štát vymenuje kontaktné miesto na preverovanie priamych zahraničných investícií (ďalej len „kontaktné miesto na preverovanie PZI“) na účely preverovania </w:t>
      </w:r>
      <w:r>
        <w:rPr>
          <w:noProof/>
        </w:rPr>
        <w:t>priamej zahraničnej investície. Komisia a iné členské štáty zapoja tieto kontaktné miesta na preverovanie PZI do všetkých záležitostí súvisiacich s vykonávaním tohto nariadenia.</w:t>
      </w:r>
    </w:p>
    <w:p w:rsidR="00B90EE1" w:rsidRDefault="003A231F">
      <w:pPr>
        <w:pStyle w:val="Titrearticle"/>
        <w:rPr>
          <w:noProof/>
        </w:rPr>
      </w:pPr>
      <w:r>
        <w:rPr>
          <w:noProof/>
        </w:rPr>
        <w:t>Článok 13</w:t>
      </w:r>
    </w:p>
    <w:p w:rsidR="00B90EE1" w:rsidRDefault="003A231F">
      <w:pPr>
        <w:keepNext/>
        <w:jc w:val="center"/>
        <w:rPr>
          <w:b/>
          <w:bCs/>
          <w:noProof/>
        </w:rPr>
      </w:pPr>
      <w:r>
        <w:rPr>
          <w:b/>
          <w:noProof/>
        </w:rPr>
        <w:t>Hodnotenie</w:t>
      </w:r>
    </w:p>
    <w:p w:rsidR="00B90EE1" w:rsidRDefault="003A231F">
      <w:pPr>
        <w:pStyle w:val="ManualNumPar1"/>
        <w:rPr>
          <w:noProof/>
        </w:rPr>
      </w:pPr>
      <w:r>
        <w:rPr>
          <w:noProof/>
        </w:rPr>
        <w:t>1.</w:t>
      </w:r>
      <w:r>
        <w:rPr>
          <w:noProof/>
        </w:rPr>
        <w:tab/>
        <w:t>Komisia zhodnotí uplatňovanie tohto nariadenia najnesk</w:t>
      </w:r>
      <w:r>
        <w:rPr>
          <w:noProof/>
        </w:rPr>
        <w:t>ôr tri roky po nadobudnutí jeho účinnosti a predloží o ňom správu Európskemu parlamentu a Rade. Do tohto procesu sa zapoja aj členské štáty a poskytnú Komisii informácie potrebné na prípravu uvedenej správy.</w:t>
      </w:r>
    </w:p>
    <w:p w:rsidR="00B90EE1" w:rsidRDefault="003A231F">
      <w:pPr>
        <w:pStyle w:val="ManualNumPar1"/>
        <w:rPr>
          <w:noProof/>
        </w:rPr>
      </w:pPr>
      <w:r>
        <w:rPr>
          <w:noProof/>
        </w:rPr>
        <w:lastRenderedPageBreak/>
        <w:t>2.</w:t>
      </w:r>
      <w:r>
        <w:rPr>
          <w:noProof/>
        </w:rPr>
        <w:tab/>
        <w:t>Ak sa v správe odporúča zmeniť ustanovenia to</w:t>
      </w:r>
      <w:r>
        <w:rPr>
          <w:noProof/>
        </w:rPr>
        <w:t>hto nariadenia, môže sa k nej pripojiť zodpovedajúci sprievodný legislatívny návrh.</w:t>
      </w:r>
    </w:p>
    <w:p w:rsidR="00B90EE1" w:rsidRDefault="003A231F">
      <w:pPr>
        <w:pStyle w:val="Titrearticle"/>
        <w:rPr>
          <w:noProof/>
        </w:rPr>
      </w:pPr>
      <w:r>
        <w:rPr>
          <w:noProof/>
        </w:rPr>
        <w:t>Článok 14</w:t>
      </w:r>
    </w:p>
    <w:p w:rsidR="00B90EE1" w:rsidRDefault="003A231F">
      <w:pPr>
        <w:jc w:val="center"/>
        <w:rPr>
          <w:b/>
          <w:bCs/>
          <w:noProof/>
        </w:rPr>
      </w:pPr>
      <w:r>
        <w:rPr>
          <w:b/>
          <w:noProof/>
        </w:rPr>
        <w:t>Nadobudnutie účinnosti</w:t>
      </w:r>
    </w:p>
    <w:p w:rsidR="00B90EE1" w:rsidRDefault="003A231F">
      <w:pPr>
        <w:rPr>
          <w:noProof/>
        </w:rPr>
      </w:pPr>
      <w:r>
        <w:rPr>
          <w:noProof/>
        </w:rPr>
        <w:t>Toto nariadenie nadobúda účinnosť dvadsiatym dňom po jeho uverejnení v </w:t>
      </w:r>
      <w:r>
        <w:rPr>
          <w:i/>
          <w:noProof/>
        </w:rPr>
        <w:t>Úradnom vestníku Európskej únie</w:t>
      </w:r>
      <w:r>
        <w:rPr>
          <w:noProof/>
        </w:rPr>
        <w:t>.</w:t>
      </w:r>
    </w:p>
    <w:p w:rsidR="00B90EE1" w:rsidRDefault="003A231F">
      <w:pPr>
        <w:pStyle w:val="Applicationdirecte"/>
        <w:rPr>
          <w:noProof/>
        </w:rPr>
      </w:pPr>
      <w:r>
        <w:rPr>
          <w:noProof/>
        </w:rPr>
        <w:t xml:space="preserve">Toto nariadenie je záväzné v celom </w:t>
      </w:r>
      <w:r>
        <w:rPr>
          <w:noProof/>
        </w:rPr>
        <w:t>rozsahu a priamo uplatniteľné vo všetkých členských štátoch.</w:t>
      </w:r>
    </w:p>
    <w:p w:rsidR="00B90EE1" w:rsidRDefault="003A231F">
      <w:pPr>
        <w:pStyle w:val="Fait"/>
        <w:rPr>
          <w:noProof/>
        </w:rPr>
      </w:pPr>
      <w:r>
        <w:rPr>
          <w:noProof/>
        </w:rPr>
        <w:t>V Bruseli</w:t>
      </w:r>
    </w:p>
    <w:p w:rsidR="00B90EE1" w:rsidRDefault="003A231F">
      <w:pPr>
        <w:pStyle w:val="Institutionquisigne"/>
        <w:rPr>
          <w:noProof/>
        </w:rPr>
      </w:pPr>
      <w:r>
        <w:rPr>
          <w:noProof/>
        </w:rPr>
        <w:t>Za Európsky parlament</w:t>
      </w:r>
      <w:r>
        <w:rPr>
          <w:noProof/>
        </w:rPr>
        <w:tab/>
        <w:t>Za Radu</w:t>
      </w:r>
    </w:p>
    <w:p w:rsidR="00B90EE1" w:rsidRDefault="003A231F">
      <w:pPr>
        <w:pStyle w:val="Personnequisigne"/>
        <w:rPr>
          <w:noProof/>
        </w:rPr>
      </w:pPr>
      <w:r>
        <w:rPr>
          <w:noProof/>
        </w:rPr>
        <w:t>predseda</w:t>
      </w:r>
      <w:r>
        <w:rPr>
          <w:noProof/>
        </w:rPr>
        <w:tab/>
        <w:t>predseda</w:t>
      </w:r>
    </w:p>
    <w:p w:rsidR="00B90EE1" w:rsidRDefault="00B90EE1">
      <w:pPr>
        <w:rPr>
          <w:noProof/>
        </w:rPr>
        <w:sectPr w:rsidR="00B90EE1">
          <w:pgSz w:w="11907" w:h="16839"/>
          <w:pgMar w:top="1134" w:right="1417" w:bottom="1134" w:left="1417" w:header="709" w:footer="709" w:gutter="0"/>
          <w:cols w:space="708"/>
          <w:docGrid w:linePitch="360"/>
        </w:sectPr>
      </w:pPr>
    </w:p>
    <w:p w:rsidR="00B90EE1" w:rsidRDefault="003A231F">
      <w:pPr>
        <w:pStyle w:val="Fichefinanciretitre"/>
        <w:rPr>
          <w:noProof/>
        </w:rPr>
      </w:pPr>
      <w:r>
        <w:rPr>
          <w:noProof/>
        </w:rPr>
        <w:lastRenderedPageBreak/>
        <w:t>LEGISLATÍVNY FINANČNÝ VÝKAZ</w:t>
      </w:r>
    </w:p>
    <w:p w:rsidR="00B90EE1" w:rsidRDefault="003A231F">
      <w:pPr>
        <w:pStyle w:val="ManualHeading1"/>
        <w:rPr>
          <w:noProof/>
        </w:rPr>
      </w:pPr>
      <w:r>
        <w:rPr>
          <w:noProof/>
        </w:rPr>
        <w:t>1.</w:t>
      </w:r>
      <w:r>
        <w:rPr>
          <w:noProof/>
        </w:rPr>
        <w:tab/>
        <w:t>RÁMEC NÁVRHU/INICIATÍVY</w:t>
      </w:r>
    </w:p>
    <w:p w:rsidR="00B90EE1" w:rsidRDefault="003A231F">
      <w:pPr>
        <w:pStyle w:val="ManualHeading2"/>
        <w:rPr>
          <w:b w:val="0"/>
          <w:noProof/>
        </w:rPr>
      </w:pPr>
      <w:r>
        <w:rPr>
          <w:noProof/>
        </w:rPr>
        <w:tab/>
      </w:r>
      <w:r>
        <w:rPr>
          <w:b w:val="0"/>
          <w:noProof/>
        </w:rPr>
        <w:t>1.1.</w:t>
      </w:r>
      <w:r>
        <w:rPr>
          <w:noProof/>
        </w:rPr>
        <w:tab/>
      </w:r>
      <w:r>
        <w:rPr>
          <w:b w:val="0"/>
          <w:noProof/>
        </w:rPr>
        <w:t>Názov návrhu/iniciatívy</w:t>
      </w:r>
    </w:p>
    <w:p w:rsidR="00B90EE1" w:rsidRDefault="003A231F">
      <w:pPr>
        <w:pStyle w:val="ManualHeading2"/>
        <w:rPr>
          <w:b w:val="0"/>
          <w:noProof/>
        </w:rPr>
      </w:pPr>
      <w:r>
        <w:rPr>
          <w:noProof/>
        </w:rPr>
        <w:tab/>
      </w:r>
      <w:r>
        <w:rPr>
          <w:b w:val="0"/>
          <w:noProof/>
        </w:rPr>
        <w:t>1.2.</w:t>
      </w:r>
      <w:r>
        <w:rPr>
          <w:noProof/>
        </w:rPr>
        <w:tab/>
      </w:r>
      <w:r>
        <w:rPr>
          <w:b w:val="0"/>
          <w:noProof/>
        </w:rPr>
        <w:t>Príslušné oblasti politiky</w:t>
      </w:r>
    </w:p>
    <w:p w:rsidR="00B90EE1" w:rsidRDefault="003A231F">
      <w:pPr>
        <w:pStyle w:val="ManualHeading2"/>
        <w:rPr>
          <w:b w:val="0"/>
          <w:noProof/>
        </w:rPr>
      </w:pPr>
      <w:r>
        <w:rPr>
          <w:noProof/>
        </w:rPr>
        <w:tab/>
      </w:r>
      <w:r>
        <w:rPr>
          <w:b w:val="0"/>
          <w:noProof/>
        </w:rPr>
        <w:t>1.</w:t>
      </w:r>
      <w:r>
        <w:rPr>
          <w:b w:val="0"/>
          <w:noProof/>
        </w:rPr>
        <w:t>3.</w:t>
      </w:r>
      <w:r>
        <w:rPr>
          <w:noProof/>
        </w:rPr>
        <w:tab/>
      </w:r>
      <w:r>
        <w:rPr>
          <w:b w:val="0"/>
          <w:noProof/>
        </w:rPr>
        <w:t>Druh návrhu/iniciatívy</w:t>
      </w:r>
    </w:p>
    <w:p w:rsidR="00B90EE1" w:rsidRDefault="003A231F">
      <w:pPr>
        <w:pStyle w:val="ManualHeading2"/>
        <w:rPr>
          <w:b w:val="0"/>
          <w:noProof/>
        </w:rPr>
      </w:pPr>
      <w:r>
        <w:rPr>
          <w:noProof/>
        </w:rPr>
        <w:tab/>
      </w:r>
      <w:r>
        <w:rPr>
          <w:b w:val="0"/>
          <w:noProof/>
        </w:rPr>
        <w:t>1.4.</w:t>
      </w:r>
      <w:r>
        <w:rPr>
          <w:noProof/>
        </w:rPr>
        <w:tab/>
      </w:r>
      <w:r>
        <w:rPr>
          <w:b w:val="0"/>
          <w:noProof/>
        </w:rPr>
        <w:t>Ciele</w:t>
      </w:r>
    </w:p>
    <w:p w:rsidR="00B90EE1" w:rsidRDefault="003A231F">
      <w:pPr>
        <w:pStyle w:val="ManualHeading2"/>
        <w:rPr>
          <w:b w:val="0"/>
          <w:noProof/>
        </w:rPr>
      </w:pPr>
      <w:r>
        <w:rPr>
          <w:noProof/>
        </w:rPr>
        <w:tab/>
      </w:r>
      <w:r>
        <w:rPr>
          <w:b w:val="0"/>
          <w:noProof/>
        </w:rPr>
        <w:t>1.5.</w:t>
      </w:r>
      <w:r>
        <w:rPr>
          <w:noProof/>
        </w:rPr>
        <w:tab/>
      </w:r>
      <w:r>
        <w:rPr>
          <w:b w:val="0"/>
          <w:noProof/>
        </w:rPr>
        <w:t>Dôvody návrhu/iniciatívy</w:t>
      </w:r>
    </w:p>
    <w:p w:rsidR="00B90EE1" w:rsidRDefault="003A231F">
      <w:pPr>
        <w:pStyle w:val="ManualHeading2"/>
        <w:rPr>
          <w:b w:val="0"/>
          <w:noProof/>
        </w:rPr>
      </w:pPr>
      <w:r>
        <w:rPr>
          <w:noProof/>
        </w:rPr>
        <w:tab/>
      </w:r>
      <w:r>
        <w:rPr>
          <w:b w:val="0"/>
          <w:noProof/>
        </w:rPr>
        <w:t>1.6.</w:t>
      </w:r>
      <w:r>
        <w:rPr>
          <w:noProof/>
        </w:rPr>
        <w:tab/>
      </w:r>
      <w:r>
        <w:rPr>
          <w:b w:val="0"/>
          <w:noProof/>
        </w:rPr>
        <w:t>Trvanie a finančný vplyv</w:t>
      </w:r>
    </w:p>
    <w:p w:rsidR="00B90EE1" w:rsidRDefault="003A231F">
      <w:pPr>
        <w:pStyle w:val="ManualHeading2"/>
        <w:rPr>
          <w:b w:val="0"/>
          <w:noProof/>
        </w:rPr>
      </w:pPr>
      <w:r>
        <w:rPr>
          <w:noProof/>
        </w:rPr>
        <w:tab/>
      </w:r>
      <w:r>
        <w:rPr>
          <w:b w:val="0"/>
          <w:noProof/>
        </w:rPr>
        <w:t>1.7.</w:t>
      </w:r>
      <w:r>
        <w:rPr>
          <w:noProof/>
        </w:rPr>
        <w:tab/>
      </w:r>
      <w:r>
        <w:rPr>
          <w:b w:val="0"/>
          <w:noProof/>
        </w:rPr>
        <w:t>Plánovaný spôsob hospodárenia</w:t>
      </w:r>
    </w:p>
    <w:p w:rsidR="00B90EE1" w:rsidRDefault="003A231F">
      <w:pPr>
        <w:pStyle w:val="ManualHeading1"/>
        <w:rPr>
          <w:noProof/>
        </w:rPr>
      </w:pPr>
      <w:r>
        <w:rPr>
          <w:noProof/>
        </w:rPr>
        <w:t>2.</w:t>
      </w:r>
      <w:r>
        <w:rPr>
          <w:noProof/>
        </w:rPr>
        <w:tab/>
        <w:t>OPATRENIA V OBLASTI RIADENIA</w:t>
      </w:r>
    </w:p>
    <w:p w:rsidR="00B90EE1" w:rsidRDefault="003A231F">
      <w:pPr>
        <w:pStyle w:val="ManualHeading2"/>
        <w:rPr>
          <w:b w:val="0"/>
          <w:noProof/>
        </w:rPr>
      </w:pPr>
      <w:r>
        <w:rPr>
          <w:noProof/>
        </w:rPr>
        <w:tab/>
      </w:r>
      <w:r>
        <w:rPr>
          <w:b w:val="0"/>
          <w:noProof/>
        </w:rPr>
        <w:t>2.1.</w:t>
      </w:r>
      <w:r>
        <w:rPr>
          <w:noProof/>
        </w:rPr>
        <w:tab/>
      </w:r>
      <w:r>
        <w:rPr>
          <w:b w:val="0"/>
          <w:noProof/>
        </w:rPr>
        <w:t>Opatrenia týkajúce sa monitorovania a predkladania správ</w:t>
      </w:r>
    </w:p>
    <w:p w:rsidR="00B90EE1" w:rsidRDefault="003A231F">
      <w:pPr>
        <w:pStyle w:val="ManualHeading2"/>
        <w:rPr>
          <w:b w:val="0"/>
          <w:noProof/>
        </w:rPr>
      </w:pPr>
      <w:r>
        <w:rPr>
          <w:noProof/>
        </w:rPr>
        <w:tab/>
      </w:r>
      <w:r>
        <w:rPr>
          <w:b w:val="0"/>
          <w:noProof/>
        </w:rPr>
        <w:t>2.2.</w:t>
      </w:r>
      <w:r>
        <w:rPr>
          <w:noProof/>
        </w:rPr>
        <w:tab/>
      </w:r>
      <w:r>
        <w:rPr>
          <w:b w:val="0"/>
          <w:noProof/>
        </w:rPr>
        <w:t xml:space="preserve">Systémy riadenia </w:t>
      </w:r>
      <w:r>
        <w:rPr>
          <w:b w:val="0"/>
          <w:noProof/>
        </w:rPr>
        <w:t>a kontroly</w:t>
      </w:r>
    </w:p>
    <w:p w:rsidR="00B90EE1" w:rsidRDefault="003A231F">
      <w:pPr>
        <w:pStyle w:val="ManualHeading2"/>
        <w:rPr>
          <w:b w:val="0"/>
          <w:noProof/>
        </w:rPr>
      </w:pPr>
      <w:r>
        <w:rPr>
          <w:noProof/>
        </w:rPr>
        <w:tab/>
      </w:r>
      <w:r>
        <w:rPr>
          <w:b w:val="0"/>
          <w:noProof/>
        </w:rPr>
        <w:t>2.3.</w:t>
      </w:r>
      <w:r>
        <w:rPr>
          <w:noProof/>
        </w:rPr>
        <w:tab/>
      </w:r>
      <w:r>
        <w:rPr>
          <w:b w:val="0"/>
          <w:noProof/>
        </w:rPr>
        <w:t>Opatrenia na predchádzanie podvodom a nezrovnalostiam</w:t>
      </w:r>
    </w:p>
    <w:p w:rsidR="00B90EE1" w:rsidRDefault="003A231F">
      <w:pPr>
        <w:pStyle w:val="ManualHeading1"/>
        <w:rPr>
          <w:noProof/>
        </w:rPr>
      </w:pPr>
      <w:r>
        <w:rPr>
          <w:noProof/>
        </w:rPr>
        <w:t>3.</w:t>
      </w:r>
      <w:r>
        <w:rPr>
          <w:noProof/>
        </w:rPr>
        <w:tab/>
        <w:t>ODHADOVANÝ FINANČNÝ VPLYV NÁVRHU/INICIATÍVY</w:t>
      </w:r>
    </w:p>
    <w:p w:rsidR="00B90EE1" w:rsidRDefault="003A231F">
      <w:pPr>
        <w:pStyle w:val="ManualHeading2"/>
        <w:rPr>
          <w:b w:val="0"/>
          <w:noProof/>
        </w:rPr>
      </w:pPr>
      <w:r>
        <w:rPr>
          <w:noProof/>
        </w:rPr>
        <w:tab/>
      </w:r>
      <w:r>
        <w:rPr>
          <w:b w:val="0"/>
          <w:noProof/>
        </w:rPr>
        <w:t>3.1.</w:t>
      </w:r>
      <w:r>
        <w:rPr>
          <w:noProof/>
        </w:rPr>
        <w:tab/>
      </w:r>
      <w:r>
        <w:rPr>
          <w:b w:val="0"/>
          <w:noProof/>
        </w:rPr>
        <w:t>Príslušné okruhy viacročného finančného rámca a rozpočtové riadky výdavkov</w:t>
      </w:r>
    </w:p>
    <w:p w:rsidR="00B90EE1" w:rsidRDefault="003A231F">
      <w:pPr>
        <w:pStyle w:val="ManualHeading2"/>
        <w:rPr>
          <w:noProof/>
        </w:rPr>
      </w:pPr>
      <w:r>
        <w:rPr>
          <w:noProof/>
        </w:rPr>
        <w:tab/>
      </w:r>
      <w:r>
        <w:rPr>
          <w:b w:val="0"/>
          <w:noProof/>
        </w:rPr>
        <w:t>3.2.</w:t>
      </w:r>
      <w:r>
        <w:rPr>
          <w:noProof/>
        </w:rPr>
        <w:tab/>
      </w:r>
      <w:r>
        <w:rPr>
          <w:b w:val="0"/>
          <w:noProof/>
        </w:rPr>
        <w:t>Odhadovaný vplyv na výdavky</w:t>
      </w:r>
    </w:p>
    <w:p w:rsidR="00B90EE1" w:rsidRDefault="003A231F">
      <w:pPr>
        <w:pStyle w:val="ManualHeading3"/>
        <w:rPr>
          <w:noProof/>
        </w:rPr>
      </w:pPr>
      <w:r>
        <w:rPr>
          <w:noProof/>
        </w:rPr>
        <w:tab/>
        <w:t>3.2.1.</w:t>
      </w:r>
      <w:r>
        <w:rPr>
          <w:noProof/>
        </w:rPr>
        <w:tab/>
        <w:t xml:space="preserve">Zhrnutie </w:t>
      </w:r>
      <w:r>
        <w:rPr>
          <w:noProof/>
        </w:rPr>
        <w:t>odhadovaného vplyvu na výdavky</w:t>
      </w:r>
    </w:p>
    <w:p w:rsidR="00B90EE1" w:rsidRDefault="003A231F">
      <w:pPr>
        <w:pStyle w:val="ManualHeading3"/>
        <w:rPr>
          <w:noProof/>
        </w:rPr>
      </w:pPr>
      <w:r>
        <w:rPr>
          <w:noProof/>
        </w:rPr>
        <w:tab/>
        <w:t>3.2.2.</w:t>
      </w:r>
      <w:r>
        <w:rPr>
          <w:noProof/>
        </w:rPr>
        <w:tab/>
        <w:t>Odhadovaný vplyv na operačné rozpočtové prostriedky</w:t>
      </w:r>
    </w:p>
    <w:p w:rsidR="00B90EE1" w:rsidRDefault="003A231F">
      <w:pPr>
        <w:pStyle w:val="ManualHeading3"/>
        <w:rPr>
          <w:noProof/>
        </w:rPr>
      </w:pPr>
      <w:r>
        <w:rPr>
          <w:noProof/>
        </w:rPr>
        <w:tab/>
        <w:t>3.2.3.</w:t>
      </w:r>
      <w:r>
        <w:rPr>
          <w:noProof/>
        </w:rPr>
        <w:tab/>
        <w:t>Odhadovaný vplyv na administratívne rozpočtové prostriedky</w:t>
      </w:r>
    </w:p>
    <w:p w:rsidR="00B90EE1" w:rsidRDefault="003A231F">
      <w:pPr>
        <w:pStyle w:val="ManualHeading3"/>
        <w:rPr>
          <w:noProof/>
        </w:rPr>
      </w:pPr>
      <w:r>
        <w:rPr>
          <w:noProof/>
        </w:rPr>
        <w:tab/>
        <w:t>3.2.4.</w:t>
      </w:r>
      <w:r>
        <w:rPr>
          <w:noProof/>
        </w:rPr>
        <w:tab/>
        <w:t>Súlad s platným viacročným finančným rámcom</w:t>
      </w:r>
    </w:p>
    <w:p w:rsidR="00B90EE1" w:rsidRDefault="003A231F">
      <w:pPr>
        <w:pStyle w:val="ManualHeading3"/>
        <w:rPr>
          <w:noProof/>
        </w:rPr>
      </w:pPr>
      <w:r>
        <w:rPr>
          <w:noProof/>
        </w:rPr>
        <w:tab/>
        <w:t>3.2.5.</w:t>
      </w:r>
      <w:r>
        <w:rPr>
          <w:noProof/>
        </w:rPr>
        <w:tab/>
        <w:t>Príspevky od tretích strán</w:t>
      </w:r>
    </w:p>
    <w:p w:rsidR="00B90EE1" w:rsidRDefault="003A231F">
      <w:pPr>
        <w:pStyle w:val="ManualHeading2"/>
        <w:jc w:val="left"/>
        <w:rPr>
          <w:b w:val="0"/>
          <w:noProof/>
        </w:rPr>
        <w:sectPr w:rsidR="00B90EE1">
          <w:pgSz w:w="11907" w:h="16840" w:code="9"/>
          <w:pgMar w:top="1134" w:right="1418" w:bottom="1134" w:left="1418" w:header="709" w:footer="709" w:gutter="0"/>
          <w:pgNumType w:start="1"/>
          <w:cols w:space="708"/>
          <w:docGrid w:linePitch="360"/>
        </w:sectPr>
      </w:pPr>
      <w:r>
        <w:rPr>
          <w:noProof/>
        </w:rPr>
        <w:tab/>
      </w:r>
      <w:r>
        <w:rPr>
          <w:b w:val="0"/>
          <w:noProof/>
        </w:rPr>
        <w:t>3.3.</w:t>
      </w:r>
      <w:r>
        <w:rPr>
          <w:noProof/>
        </w:rPr>
        <w:tab/>
      </w:r>
      <w:r>
        <w:rPr>
          <w:b w:val="0"/>
          <w:noProof/>
        </w:rPr>
        <w:t>Odhadovaný vplyv na príjmy</w:t>
      </w:r>
    </w:p>
    <w:p w:rsidR="00B90EE1" w:rsidRDefault="003A231F">
      <w:pPr>
        <w:jc w:val="center"/>
        <w:rPr>
          <w:b/>
          <w:noProof/>
          <w:u w:val="single"/>
        </w:rPr>
      </w:pPr>
      <w:r>
        <w:rPr>
          <w:b/>
          <w:noProof/>
          <w:u w:val="single"/>
        </w:rPr>
        <w:lastRenderedPageBreak/>
        <w:t>LEGISLATÍVNY FINANČNÝ VÝKAZ</w:t>
      </w:r>
    </w:p>
    <w:p w:rsidR="00B90EE1" w:rsidRDefault="003A231F">
      <w:pPr>
        <w:pStyle w:val="ManualHeading1"/>
        <w:rPr>
          <w:noProof/>
        </w:rPr>
      </w:pPr>
      <w:r>
        <w:rPr>
          <w:noProof/>
        </w:rPr>
        <w:t>1.</w:t>
      </w:r>
      <w:r>
        <w:rPr>
          <w:noProof/>
        </w:rPr>
        <w:tab/>
        <w:t>RÁMEC NÁVRHU/INICIATÍVY</w:t>
      </w:r>
    </w:p>
    <w:p w:rsidR="00B90EE1" w:rsidRDefault="003A231F">
      <w:pPr>
        <w:pStyle w:val="ManualHeading2"/>
        <w:rPr>
          <w:noProof/>
        </w:rPr>
      </w:pPr>
      <w:r>
        <w:rPr>
          <w:noProof/>
        </w:rPr>
        <w:t>1.1.</w:t>
      </w:r>
      <w:r>
        <w:rPr>
          <w:noProof/>
        </w:rPr>
        <w:tab/>
        <w:t>Názov návrhu/iniciatívy</w:t>
      </w:r>
    </w:p>
    <w:p w:rsidR="00B90EE1" w:rsidRDefault="003A231F">
      <w:pPr>
        <w:pStyle w:val="Text1"/>
        <w:pBdr>
          <w:top w:val="single" w:sz="4" w:space="1" w:color="auto"/>
          <w:left w:val="single" w:sz="4" w:space="4" w:color="auto"/>
          <w:bottom w:val="single" w:sz="4" w:space="1" w:color="auto"/>
          <w:right w:val="single" w:sz="4" w:space="4" w:color="auto"/>
        </w:pBdr>
        <w:rPr>
          <w:noProof/>
        </w:rPr>
      </w:pPr>
      <w:r>
        <w:rPr>
          <w:noProof/>
        </w:rPr>
        <w:t>Návrh nariadenia Európskeho parlamentu a Rady, ktorým sa stanovuje rámec na preverovanie priamych zahraničných</w:t>
      </w:r>
      <w:r>
        <w:rPr>
          <w:noProof/>
        </w:rPr>
        <w:t xml:space="preserve"> investícií do Európskej únie</w:t>
      </w:r>
    </w:p>
    <w:p w:rsidR="00B90EE1" w:rsidRDefault="003A231F">
      <w:pPr>
        <w:pStyle w:val="ManualHeading2"/>
        <w:rPr>
          <w:i/>
          <w:noProof/>
        </w:rPr>
      </w:pPr>
      <w:r>
        <w:rPr>
          <w:noProof/>
        </w:rPr>
        <w:t>1.2.</w:t>
      </w:r>
      <w:r>
        <w:rPr>
          <w:noProof/>
        </w:rPr>
        <w:tab/>
        <w:t>Príslušné oblasti politiky</w:t>
      </w:r>
    </w:p>
    <w:p w:rsidR="00B90EE1" w:rsidRDefault="003A231F">
      <w:pPr>
        <w:pStyle w:val="Text1"/>
        <w:pBdr>
          <w:top w:val="single" w:sz="4" w:space="1" w:color="auto"/>
          <w:left w:val="single" w:sz="4" w:space="4" w:color="auto"/>
          <w:bottom w:val="single" w:sz="4" w:space="1" w:color="auto"/>
          <w:right w:val="single" w:sz="4" w:space="4" w:color="auto"/>
        </w:pBdr>
        <w:rPr>
          <w:noProof/>
        </w:rPr>
      </w:pPr>
      <w:r>
        <w:rPr>
          <w:noProof/>
        </w:rPr>
        <w:t>Spoločná obchodná politika, článok 207 ZFEÚ</w:t>
      </w:r>
    </w:p>
    <w:p w:rsidR="00B90EE1" w:rsidRDefault="003A231F">
      <w:pPr>
        <w:pStyle w:val="ManualHeading2"/>
        <w:rPr>
          <w:noProof/>
        </w:rPr>
      </w:pPr>
      <w:r>
        <w:rPr>
          <w:noProof/>
        </w:rPr>
        <w:t>1.3.</w:t>
      </w:r>
      <w:r>
        <w:rPr>
          <w:noProof/>
        </w:rPr>
        <w:tab/>
        <w:t>Druh návrhu/iniciatívy</w:t>
      </w:r>
    </w:p>
    <w:p w:rsidR="00B90EE1" w:rsidRDefault="003A231F">
      <w:pPr>
        <w:pStyle w:val="Text1"/>
        <w:rPr>
          <w:b/>
          <w:noProof/>
          <w:sz w:val="22"/>
        </w:rPr>
      </w:pPr>
      <w:r>
        <w:rPr>
          <w:noProof/>
          <w:sz w:val="22"/>
        </w:rPr>
        <w:t>x</w:t>
      </w:r>
      <w:r>
        <w:rPr>
          <w:b/>
          <w:i/>
          <w:noProof/>
          <w:sz w:val="22"/>
        </w:rPr>
        <w:t xml:space="preserve"> </w:t>
      </w:r>
      <w:r>
        <w:rPr>
          <w:noProof/>
        </w:rPr>
        <w:t xml:space="preserve">Návrh/iniciatíva sa týka </w:t>
      </w:r>
      <w:r>
        <w:rPr>
          <w:b/>
          <w:noProof/>
        </w:rPr>
        <w:t>novej akcie</w:t>
      </w:r>
    </w:p>
    <w:p w:rsidR="00B90EE1" w:rsidRDefault="003A231F">
      <w:pPr>
        <w:pStyle w:val="Text1"/>
        <w:rPr>
          <w:noProof/>
          <w:sz w:val="22"/>
        </w:rPr>
      </w:pPr>
      <w:r>
        <w:rPr>
          <w:noProof/>
          <w:sz w:val="22"/>
        </w:rPr>
        <w:sym w:font="Wingdings" w:char="F0A8"/>
      </w:r>
      <w:r>
        <w:rPr>
          <w:i/>
          <w:noProof/>
          <w:sz w:val="22"/>
        </w:rPr>
        <w:t xml:space="preserve"> </w:t>
      </w:r>
      <w:r>
        <w:rPr>
          <w:noProof/>
        </w:rPr>
        <w:t xml:space="preserve">Návrh/iniciatíva sa týka </w:t>
      </w:r>
      <w:r>
        <w:rPr>
          <w:b/>
          <w:noProof/>
        </w:rPr>
        <w:t xml:space="preserve">novej akcie, ktorá nadväzuje na pilotný </w:t>
      </w:r>
      <w:r>
        <w:rPr>
          <w:b/>
          <w:noProof/>
        </w:rPr>
        <w:t>projekt/prípravnú akciu</w:t>
      </w:r>
      <w:r>
        <w:rPr>
          <w:rStyle w:val="Odkaznapoznmkupodiarou"/>
          <w:b/>
          <w:noProof/>
        </w:rPr>
        <w:footnoteReference w:id="26"/>
      </w:r>
    </w:p>
    <w:p w:rsidR="00B90EE1" w:rsidRDefault="003A231F">
      <w:pPr>
        <w:pStyle w:val="Text1"/>
        <w:rPr>
          <w:noProof/>
          <w:sz w:val="22"/>
        </w:rPr>
      </w:pPr>
      <w:r>
        <w:rPr>
          <w:noProof/>
          <w:sz w:val="22"/>
        </w:rPr>
        <w:sym w:font="Wingdings" w:char="F0A8"/>
      </w:r>
      <w:r>
        <w:rPr>
          <w:i/>
          <w:noProof/>
          <w:sz w:val="22"/>
        </w:rPr>
        <w:t xml:space="preserve"> </w:t>
      </w:r>
      <w:r>
        <w:rPr>
          <w:noProof/>
        </w:rPr>
        <w:t xml:space="preserve">Návrh/iniciatíva sa týka </w:t>
      </w:r>
      <w:r>
        <w:rPr>
          <w:b/>
          <w:noProof/>
        </w:rPr>
        <w:t>predĺženia trvania existujúcej akcie</w:t>
      </w:r>
    </w:p>
    <w:p w:rsidR="00B90EE1" w:rsidRDefault="003A231F">
      <w:pPr>
        <w:pStyle w:val="Text1"/>
        <w:rPr>
          <w:b/>
          <w:noProof/>
        </w:rPr>
      </w:pPr>
      <w:r>
        <w:rPr>
          <w:noProof/>
          <w:sz w:val="22"/>
        </w:rPr>
        <w:sym w:font="Wingdings" w:char="F0A8"/>
      </w:r>
      <w:r>
        <w:rPr>
          <w:i/>
          <w:noProof/>
          <w:sz w:val="22"/>
        </w:rPr>
        <w:t xml:space="preserve"> </w:t>
      </w:r>
      <w:r>
        <w:rPr>
          <w:noProof/>
        </w:rPr>
        <w:t xml:space="preserve">Návrh/iniciatíva sa týka </w:t>
      </w:r>
      <w:r>
        <w:rPr>
          <w:b/>
          <w:noProof/>
        </w:rPr>
        <w:t>akcie presmerovanej na novú akciu</w:t>
      </w:r>
    </w:p>
    <w:p w:rsidR="00B90EE1" w:rsidRDefault="003A231F">
      <w:pPr>
        <w:pStyle w:val="ManualHeading2"/>
        <w:rPr>
          <w:bCs/>
          <w:noProof/>
          <w:szCs w:val="24"/>
        </w:rPr>
      </w:pPr>
      <w:r>
        <w:rPr>
          <w:noProof/>
        </w:rPr>
        <w:t>1.4.</w:t>
      </w:r>
      <w:r>
        <w:rPr>
          <w:noProof/>
        </w:rPr>
        <w:tab/>
        <w:t>Ciele</w:t>
      </w:r>
    </w:p>
    <w:p w:rsidR="00B90EE1" w:rsidRDefault="003A231F">
      <w:pPr>
        <w:pStyle w:val="ManualHeading3"/>
        <w:rPr>
          <w:noProof/>
        </w:rPr>
      </w:pPr>
      <w:r>
        <w:rPr>
          <w:noProof/>
        </w:rPr>
        <w:t>1.4.1.</w:t>
      </w:r>
      <w:r>
        <w:rPr>
          <w:noProof/>
        </w:rPr>
        <w:tab/>
        <w:t>Viacročné strategické ciele Komisie, ktoré sú predmetom návrhu/iniciatívy</w:t>
      </w:r>
    </w:p>
    <w:p w:rsidR="00B90EE1" w:rsidRDefault="003A231F">
      <w:pPr>
        <w:pStyle w:val="Text1"/>
        <w:pBdr>
          <w:top w:val="single" w:sz="4" w:space="1" w:color="auto"/>
          <w:left w:val="single" w:sz="4" w:space="4" w:color="auto"/>
          <w:bottom w:val="single" w:sz="4" w:space="1" w:color="auto"/>
          <w:right w:val="single" w:sz="4" w:space="4" w:color="auto"/>
        </w:pBdr>
        <w:rPr>
          <w:noProof/>
        </w:rPr>
      </w:pPr>
      <w:r>
        <w:rPr>
          <w:noProof/>
        </w:rPr>
        <w:t>Neuplatňuje sa</w:t>
      </w:r>
      <w:r>
        <w:rPr>
          <w:noProof/>
        </w:rPr>
        <w:t>.</w:t>
      </w:r>
    </w:p>
    <w:p w:rsidR="00B90EE1" w:rsidRDefault="003A231F">
      <w:pPr>
        <w:pStyle w:val="ManualHeading3"/>
        <w:rPr>
          <w:noProof/>
        </w:rPr>
      </w:pPr>
      <w:r>
        <w:rPr>
          <w:noProof/>
        </w:rPr>
        <w:t>1.4.2.</w:t>
      </w:r>
      <w:r>
        <w:rPr>
          <w:noProof/>
        </w:rPr>
        <w:tab/>
        <w:t>Osobitné ciele a osobitný cieľ č. [ ]</w:t>
      </w:r>
    </w:p>
    <w:p w:rsidR="00B90EE1" w:rsidRDefault="003A231F">
      <w:pPr>
        <w:pStyle w:val="Text1"/>
        <w:pBdr>
          <w:top w:val="single" w:sz="4" w:space="1" w:color="auto"/>
          <w:left w:val="single" w:sz="4" w:space="4" w:color="auto"/>
          <w:bottom w:val="single" w:sz="4" w:space="1" w:color="auto"/>
          <w:right w:val="single" w:sz="4" w:space="4" w:color="auto"/>
        </w:pBdr>
        <w:rPr>
          <w:noProof/>
          <w:u w:val="single"/>
        </w:rPr>
      </w:pPr>
      <w:r>
        <w:rPr>
          <w:noProof/>
          <w:u w:val="single"/>
        </w:rPr>
        <w:t>Osobitné ciele</w:t>
      </w:r>
    </w:p>
    <w:p w:rsidR="00B90EE1" w:rsidRDefault="003A231F">
      <w:pPr>
        <w:pStyle w:val="Text1"/>
        <w:pBdr>
          <w:top w:val="single" w:sz="4" w:space="1" w:color="auto"/>
          <w:left w:val="single" w:sz="4" w:space="4" w:color="auto"/>
          <w:bottom w:val="single" w:sz="4" w:space="1" w:color="auto"/>
          <w:right w:val="single" w:sz="4" w:space="4" w:color="auto"/>
        </w:pBdr>
        <w:rPr>
          <w:noProof/>
        </w:rPr>
      </w:pPr>
      <w:r>
        <w:rPr>
          <w:noProof/>
        </w:rPr>
        <w:t>Neuplatňuje sa.</w:t>
      </w:r>
    </w:p>
    <w:p w:rsidR="00B90EE1" w:rsidRDefault="003A231F">
      <w:pPr>
        <w:pStyle w:val="Text1"/>
        <w:pBdr>
          <w:top w:val="single" w:sz="4" w:space="1" w:color="auto"/>
          <w:left w:val="single" w:sz="4" w:space="4" w:color="auto"/>
          <w:bottom w:val="single" w:sz="4" w:space="1" w:color="auto"/>
          <w:right w:val="single" w:sz="4" w:space="4" w:color="auto"/>
        </w:pBdr>
        <w:rPr>
          <w:noProof/>
          <w:u w:val="single"/>
        </w:rPr>
      </w:pPr>
      <w:r>
        <w:rPr>
          <w:noProof/>
          <w:u w:val="single"/>
        </w:rPr>
        <w:t>Osobitný cieľ č.</w:t>
      </w:r>
    </w:p>
    <w:p w:rsidR="00B90EE1" w:rsidRDefault="003A231F">
      <w:pPr>
        <w:pStyle w:val="Text1"/>
        <w:pBdr>
          <w:top w:val="single" w:sz="4" w:space="1" w:color="auto"/>
          <w:left w:val="single" w:sz="4" w:space="4" w:color="auto"/>
          <w:bottom w:val="single" w:sz="4" w:space="1" w:color="auto"/>
          <w:right w:val="single" w:sz="4" w:space="4" w:color="auto"/>
        </w:pBdr>
        <w:rPr>
          <w:noProof/>
        </w:rPr>
      </w:pPr>
      <w:r>
        <w:rPr>
          <w:noProof/>
        </w:rPr>
        <w:t>Neuplatňuje sa.</w:t>
      </w:r>
    </w:p>
    <w:p w:rsidR="00B90EE1" w:rsidRDefault="003A231F">
      <w:pPr>
        <w:pStyle w:val="ManualHeading3"/>
        <w:rPr>
          <w:bCs/>
          <w:noProof/>
          <w:szCs w:val="24"/>
        </w:rPr>
      </w:pPr>
      <w:r>
        <w:rPr>
          <w:noProof/>
        </w:rPr>
        <w:br w:type="page"/>
      </w:r>
      <w:r>
        <w:rPr>
          <w:noProof/>
        </w:rPr>
        <w:lastRenderedPageBreak/>
        <w:t>1.4.3.</w:t>
      </w:r>
      <w:r>
        <w:rPr>
          <w:noProof/>
        </w:rPr>
        <w:tab/>
        <w:t>Očakávané výsledky a vplyv</w:t>
      </w:r>
    </w:p>
    <w:p w:rsidR="00B90EE1" w:rsidRDefault="003A231F">
      <w:pPr>
        <w:pStyle w:val="Text1"/>
        <w:rPr>
          <w:i/>
          <w:noProof/>
          <w:sz w:val="20"/>
        </w:rPr>
      </w:pPr>
      <w:r>
        <w:rPr>
          <w:i/>
          <w:noProof/>
          <w:sz w:val="20"/>
        </w:rPr>
        <w:t>Uveďte, aký vplyv by mal mať návrh/iniciatíva na príjemcov/cieľové skupiny.</w:t>
      </w:r>
    </w:p>
    <w:p w:rsidR="00B90EE1" w:rsidRDefault="003A231F">
      <w:pPr>
        <w:pStyle w:val="Text1"/>
        <w:pBdr>
          <w:top w:val="single" w:sz="4" w:space="1" w:color="auto"/>
          <w:left w:val="single" w:sz="4" w:space="4" w:color="auto"/>
          <w:bottom w:val="single" w:sz="4" w:space="1" w:color="auto"/>
          <w:right w:val="single" w:sz="4" w:space="4" w:color="auto"/>
        </w:pBdr>
        <w:rPr>
          <w:noProof/>
        </w:rPr>
      </w:pPr>
      <w:r>
        <w:rPr>
          <w:noProof/>
        </w:rPr>
        <w:t xml:space="preserve">Cieľom návrhu je napomôcť </w:t>
      </w:r>
      <w:r>
        <w:rPr>
          <w:noProof/>
        </w:rPr>
        <w:t>dosiahnutie celkových cieľov politiky Únie, ako sa ustanovuje v článku 3 Zmluvy o Európskej únii, predovšetkým v jej vzťahoch so zvyškom sveta v snahe presadiť jej hodnoty a záujmy a prispieť k ochrane jej občanov, mieru, bezpečnosti a voľnému a spravodliv</w:t>
      </w:r>
      <w:r>
        <w:rPr>
          <w:noProof/>
        </w:rPr>
        <w:t>ému obchodu. Návrh je plne v súlade s oznámením „Obchod pre všetkých“ z roku 2015, ktorý sa zameriava na vytvorenie režimu pre obchod a investície založeného na pravidlách. Navrhované nariadenie nadväzuje na Diskusný dokument Komisie o využívaní globalizác</w:t>
      </w:r>
      <w:r>
        <w:rPr>
          <w:noProof/>
        </w:rPr>
        <w:t>ie vydaný 10. mája 2017, v ktorom sa poukazuje na prínosy a výzvy spojené s globalizáciou. V dokumente sa vyzdvihuje pevné odhodlanie Európskej únie budovať v medzinárodnej spolupráci otvorený, udržateľný, spravodlivý a na pravidlách založený poriadok. Tie</w:t>
      </w:r>
      <w:r>
        <w:rPr>
          <w:noProof/>
        </w:rPr>
        <w:t>to zásady sa v plnom rozsahu uplatňujú na priame zahraničné investície (ďalej aj „PZI“), ktoré sú súčasťou spoločnej obchodnej politiky EÚ (pozri článok 207 ods. 1 ZFEÚ). PZI sú významným zdrojom rastu, pracovných miest a inovácie. Pre EÚ aj zvyšok sveta p</w:t>
      </w:r>
      <w:r>
        <w:rPr>
          <w:noProof/>
        </w:rPr>
        <w:t>redstavujú dôležitý prínos. EÚ si preto želá udržať si otvorené investičné prostredie. V dokumente sa však takisto ozrejmilo, že ak sa cudzie krajiny či zahraničné podniky dopustia nekalých praktík alebo ak vyvolajú obavy o bezpečnosť a verejný poriadok, E</w:t>
      </w:r>
      <w:r>
        <w:rPr>
          <w:noProof/>
        </w:rPr>
        <w:t>Ú nebude váhať a zakročí. V uvedenom diskusnom dokumente sa uznalo, že strategické nadobudnutia kľúčových európskych aktív zahraničnými investormi vzbudzujú čoraz väčšie obavy. Komisia považuje v tomto kontexte za vhodné stanoviť rámec pre členské štáty a </w:t>
      </w:r>
      <w:r>
        <w:rPr>
          <w:noProof/>
        </w:rPr>
        <w:t>v určitých prípadoch aj pre Komisiu na preverovanie priamych zahraničných investícií smerujúcich do Únie.</w:t>
      </w:r>
    </w:p>
    <w:p w:rsidR="00B90EE1" w:rsidRDefault="003A231F">
      <w:pPr>
        <w:pStyle w:val="Text1"/>
        <w:pBdr>
          <w:top w:val="single" w:sz="4" w:space="1" w:color="auto"/>
          <w:left w:val="single" w:sz="4" w:space="4" w:color="auto"/>
          <w:bottom w:val="single" w:sz="4" w:space="1" w:color="auto"/>
          <w:right w:val="single" w:sz="4" w:space="4" w:color="auto"/>
        </w:pBdr>
        <w:rPr>
          <w:noProof/>
        </w:rPr>
      </w:pPr>
      <w:r>
        <w:rPr>
          <w:noProof/>
        </w:rPr>
        <w:t>Navrhované nariadenie navyše poskytuje členským štátom, ktoré majú zavedený mechanizmus preverovania priamych zahraničných investícií alebo ktoré si p</w:t>
      </w:r>
      <w:r>
        <w:rPr>
          <w:noProof/>
        </w:rPr>
        <w:t>rajú prijať takýto mechanizmus, právnu istotu, keďže Únia má podľa článku 3 ods. 1 písm. e) a článku 207 ods. 1 ZFEÚ výlučnú právomoc konať v oblasti spoločnej obchodnej politiky, ktorá zahŕňa aj priame zahraničné investície.</w:t>
      </w:r>
    </w:p>
    <w:p w:rsidR="00B90EE1" w:rsidRDefault="003A231F">
      <w:pPr>
        <w:pStyle w:val="ManualHeading3"/>
        <w:rPr>
          <w:noProof/>
        </w:rPr>
      </w:pPr>
      <w:r>
        <w:rPr>
          <w:noProof/>
        </w:rPr>
        <w:t>1.4.4.</w:t>
      </w:r>
      <w:r>
        <w:rPr>
          <w:noProof/>
        </w:rPr>
        <w:tab/>
        <w:t>Ukazovatele výsledkov a</w:t>
      </w:r>
      <w:r>
        <w:rPr>
          <w:noProof/>
        </w:rPr>
        <w:t> vplyvu</w:t>
      </w:r>
    </w:p>
    <w:p w:rsidR="00B90EE1" w:rsidRDefault="003A231F">
      <w:pPr>
        <w:pStyle w:val="Text1"/>
        <w:rPr>
          <w:i/>
          <w:noProof/>
          <w:sz w:val="20"/>
        </w:rPr>
      </w:pPr>
      <w:r>
        <w:rPr>
          <w:i/>
          <w:noProof/>
          <w:sz w:val="20"/>
        </w:rPr>
        <w:t>Uveďte ukazovatele, pomocou ktorých je možné sledovať uskutočňovanie návrhu/iniciatívy.</w:t>
      </w:r>
    </w:p>
    <w:p w:rsidR="00B90EE1" w:rsidRDefault="003A231F">
      <w:pPr>
        <w:pStyle w:val="Text1"/>
        <w:pBdr>
          <w:top w:val="single" w:sz="4" w:space="1" w:color="auto"/>
          <w:left w:val="single" w:sz="4" w:space="4" w:color="auto"/>
          <w:bottom w:val="single" w:sz="4" w:space="1" w:color="auto"/>
          <w:right w:val="single" w:sz="4" w:space="4" w:color="auto"/>
        </w:pBdr>
        <w:rPr>
          <w:noProof/>
        </w:rPr>
      </w:pPr>
      <w:r>
        <w:rPr>
          <w:noProof/>
        </w:rPr>
        <w:t>V navrhovanom nariadení sa stanovuje, že Komisia pripraví správu o uplatňovaní nariadenia najneskôr tri roky po nadobudnutí jeho účinnosti a predloží ju Európsk</w:t>
      </w:r>
      <w:r>
        <w:rPr>
          <w:noProof/>
        </w:rPr>
        <w:t>emu parlamentu a Rade. Ak by Komisia usúdila, že nariadenie dostatočne neprispieva k dosiahnutiu stanovených cieľov politiky, môže k správe pripojiť sprievodný návrh na zmenu nariadenia.</w:t>
      </w:r>
    </w:p>
    <w:p w:rsidR="00B90EE1" w:rsidRDefault="003A231F">
      <w:pPr>
        <w:pStyle w:val="ManualHeading2"/>
        <w:rPr>
          <w:noProof/>
        </w:rPr>
      </w:pPr>
      <w:r>
        <w:rPr>
          <w:noProof/>
        </w:rPr>
        <w:t>1.5.</w:t>
      </w:r>
      <w:r>
        <w:rPr>
          <w:noProof/>
        </w:rPr>
        <w:tab/>
        <w:t>Dôvody návrhu/iniciatívy</w:t>
      </w:r>
    </w:p>
    <w:p w:rsidR="00B90EE1" w:rsidRDefault="003A231F">
      <w:pPr>
        <w:pStyle w:val="ManualHeading3"/>
        <w:rPr>
          <w:noProof/>
        </w:rPr>
      </w:pPr>
      <w:r>
        <w:rPr>
          <w:noProof/>
        </w:rPr>
        <w:t>1.5.1.</w:t>
      </w:r>
      <w:r>
        <w:rPr>
          <w:noProof/>
        </w:rPr>
        <w:tab/>
        <w:t>Potreby, ktoré sa majú uspokojiť</w:t>
      </w:r>
      <w:r>
        <w:rPr>
          <w:noProof/>
        </w:rPr>
        <w:t xml:space="preserve"> v krátkodobom alebo dlhodobom horizonte</w:t>
      </w:r>
    </w:p>
    <w:p w:rsidR="00B90EE1" w:rsidRDefault="003A231F">
      <w:pPr>
        <w:pStyle w:val="Text1"/>
        <w:pBdr>
          <w:top w:val="single" w:sz="4" w:space="1" w:color="auto"/>
          <w:left w:val="single" w:sz="4" w:space="4" w:color="auto"/>
          <w:bottom w:val="single" w:sz="4" w:space="1" w:color="auto"/>
          <w:right w:val="single" w:sz="4" w:space="4" w:color="auto"/>
        </w:pBdr>
        <w:rPr>
          <w:noProof/>
        </w:rPr>
      </w:pPr>
      <w:r>
        <w:rPr>
          <w:noProof/>
        </w:rPr>
        <w:t xml:space="preserve">Trinásť členských štátov EÚ má v súčasnosti zavedené mechanizmy na preverovanie PZI, aby riešili možný vplyv medzinárodných cezhraničných prevzatí na bezpečnosť a verejný poriadok, a vyhradzujú si právomoc obmedziť </w:t>
      </w:r>
      <w:r>
        <w:rPr>
          <w:noProof/>
        </w:rPr>
        <w:t>zahraničné investície, ktoré ohrozujú ich zásadné záujmy. Únia má na základe článku 3 ods. 1 písm. e) a článku 207 ZFEÚ výlučnú právomoc konať v oblasti spoločnej obchodnej politiky, pričom PZI sú neoddeliteľnou súčasťou spoločnej obchodnej politiky. Je pr</w:t>
      </w:r>
      <w:r>
        <w:rPr>
          <w:noProof/>
        </w:rPr>
        <w:t>eto vhodné, aby Únia stanovila rámec, v ktorom si členské štáty môžu ponechať svoj mechanizmus preverovania alebo takýto mechanizmus prijať.</w:t>
      </w:r>
    </w:p>
    <w:p w:rsidR="00B90EE1" w:rsidRDefault="003A231F">
      <w:pPr>
        <w:pStyle w:val="Text1"/>
        <w:pBdr>
          <w:top w:val="single" w:sz="4" w:space="1" w:color="auto"/>
          <w:left w:val="single" w:sz="4" w:space="4" w:color="auto"/>
          <w:bottom w:val="single" w:sz="4" w:space="1" w:color="auto"/>
          <w:right w:val="single" w:sz="4" w:space="4" w:color="auto"/>
        </w:pBdr>
        <w:rPr>
          <w:noProof/>
        </w:rPr>
      </w:pPr>
      <w:r>
        <w:rPr>
          <w:noProof/>
        </w:rPr>
        <w:lastRenderedPageBreak/>
        <w:t>Cieľom navrhovaného nariadenia je navyše stanoviť pre členské štáty a v prípade potreby pre Komisiu rámec, ktorý im</w:t>
      </w:r>
      <w:r>
        <w:rPr>
          <w:noProof/>
        </w:rPr>
        <w:t xml:space="preserve"> poslúži pri preverovaní určitých PZI smerujúcich do EÚ uskutočňovanom s cieľom chrániť bezpečnosť a verejný poriadok.</w:t>
      </w:r>
    </w:p>
    <w:p w:rsidR="00B90EE1" w:rsidRDefault="003A231F">
      <w:pPr>
        <w:pStyle w:val="Text1"/>
        <w:pBdr>
          <w:top w:val="single" w:sz="4" w:space="1" w:color="auto"/>
          <w:left w:val="single" w:sz="4" w:space="4" w:color="auto"/>
          <w:bottom w:val="single" w:sz="4" w:space="1" w:color="auto"/>
          <w:right w:val="single" w:sz="4" w:space="4" w:color="auto"/>
        </w:pBdr>
        <w:rPr>
          <w:noProof/>
        </w:rPr>
      </w:pPr>
      <w:r>
        <w:rPr>
          <w:noProof/>
        </w:rPr>
        <w:t>V navrhovanom nariadení sa v súvislosti s PZI zriaďuje mechanizmus systematickej spolupráce medzi členskými štátmi a Komisiou prostredníc</w:t>
      </w:r>
      <w:r>
        <w:rPr>
          <w:noProof/>
        </w:rPr>
        <w:t>tvom kontaktných miest.</w:t>
      </w:r>
    </w:p>
    <w:p w:rsidR="00B90EE1" w:rsidRDefault="003A231F">
      <w:pPr>
        <w:pStyle w:val="ManualHeading3"/>
        <w:rPr>
          <w:bCs/>
          <w:noProof/>
          <w:szCs w:val="24"/>
        </w:rPr>
      </w:pPr>
      <w:r>
        <w:rPr>
          <w:noProof/>
        </w:rPr>
        <w:t>1.5.2.</w:t>
      </w:r>
      <w:r>
        <w:rPr>
          <w:noProof/>
        </w:rPr>
        <w:tab/>
        <w:t>Prínos zapojenia Európskej únie (môže byť výsledkom rôznych faktorov, napr. lepšej koordinácie, právnej istoty, väčšej účinnosti alebo komplementárnosti) Na účely tohto bodu je „prínos zapojenia Európskej únie“ hodnota vyplýv</w:t>
      </w:r>
      <w:r>
        <w:rPr>
          <w:noProof/>
        </w:rPr>
        <w:t>ajúca zo zásahu Únie, ktorá dopĺňa hodnotu, ktorú by v opačnom prípade vytvorili len samotné členské štáty.</w:t>
      </w:r>
    </w:p>
    <w:p w:rsidR="00B90EE1" w:rsidRDefault="003A231F">
      <w:pPr>
        <w:pStyle w:val="Text1"/>
        <w:pBdr>
          <w:top w:val="single" w:sz="4" w:space="1" w:color="auto"/>
          <w:left w:val="single" w:sz="4" w:space="4" w:color="auto"/>
          <w:bottom w:val="single" w:sz="4" w:space="1" w:color="auto"/>
          <w:right w:val="single" w:sz="4" w:space="4" w:color="auto"/>
        </w:pBdr>
        <w:rPr>
          <w:noProof/>
        </w:rPr>
      </w:pPr>
      <w:r>
        <w:rPr>
          <w:noProof/>
        </w:rPr>
        <w:t>Dôvody na akciu na európskej úrovni (</w:t>
      </w:r>
      <w:r>
        <w:rPr>
          <w:i/>
          <w:noProof/>
        </w:rPr>
        <w:t>ex ante</w:t>
      </w:r>
      <w:r>
        <w:rPr>
          <w:noProof/>
        </w:rPr>
        <w:t>)</w:t>
      </w:r>
    </w:p>
    <w:p w:rsidR="00B90EE1" w:rsidRDefault="003A231F">
      <w:pPr>
        <w:pStyle w:val="Text1"/>
        <w:pBdr>
          <w:top w:val="single" w:sz="4" w:space="1" w:color="auto"/>
          <w:left w:val="single" w:sz="4" w:space="4" w:color="auto"/>
          <w:bottom w:val="single" w:sz="4" w:space="1" w:color="auto"/>
          <w:right w:val="single" w:sz="4" w:space="4" w:color="auto"/>
        </w:pBdr>
        <w:rPr>
          <w:noProof/>
        </w:rPr>
      </w:pPr>
      <w:r>
        <w:rPr>
          <w:noProof/>
        </w:rPr>
        <w:t>Niekoľko členských štátov má zavedené mechanizmy preverovania PZI, iné zase nemajú žiadny takýto mecha</w:t>
      </w:r>
      <w:r>
        <w:rPr>
          <w:noProof/>
        </w:rPr>
        <w:t>nizmus preverovania. Únia má na základe článku 3 ods. 1 písm. e) a článku 207 ZFEÚ výlučnú právomoc konať v oblasti spoločnej obchodnej politiky, pričom PZI sú neoddeliteľnou súčasťou spoločnej obchodnej politiky. Je preto vhodné, aby Únia stanovila rámec,</w:t>
      </w:r>
      <w:r>
        <w:rPr>
          <w:noProof/>
        </w:rPr>
        <w:t xml:space="preserve"> v ktorom si členské štáty môžu ponechať svoj mechanizmus preverovania alebo takýto mechanizmus prijať.</w:t>
      </w:r>
    </w:p>
    <w:p w:rsidR="00B90EE1" w:rsidRDefault="003A231F">
      <w:pPr>
        <w:pStyle w:val="Text1"/>
        <w:pBdr>
          <w:top w:val="single" w:sz="4" w:space="1" w:color="auto"/>
          <w:left w:val="single" w:sz="4" w:space="4" w:color="auto"/>
          <w:bottom w:val="single" w:sz="4" w:space="1" w:color="auto"/>
          <w:right w:val="single" w:sz="4" w:space="4" w:color="auto"/>
        </w:pBdr>
        <w:rPr>
          <w:noProof/>
        </w:rPr>
      </w:pPr>
      <w:r>
        <w:rPr>
          <w:noProof/>
        </w:rPr>
        <w:t>Komisia by okrem toho mala mať možnosť vydať poradné stanovisko pre dotknuté členské štáty, ak sa domnieva, že určitá PZI môže mať vplyv na bezpečnosť a</w:t>
      </w:r>
      <w:r>
        <w:rPr>
          <w:noProof/>
        </w:rPr>
        <w:t>lebo verejný poriadok vo vzťahu k projektom alebo programom v záujme Únie, akými sú napr. Galileo, Horizont 2020, TEN-T alebo TEN-E. Komisia by takisto mala mať možnosť vydať poradné stanovisko, ak sa domnieva, že PZI v jednom členskom štáte má vplyv na be</w:t>
      </w:r>
      <w:r>
        <w:rPr>
          <w:noProof/>
        </w:rPr>
        <w:t>zpečnosť alebo verejný poriadok v inom členskom štáte.</w:t>
      </w:r>
    </w:p>
    <w:p w:rsidR="00B90EE1" w:rsidRDefault="003A231F">
      <w:pPr>
        <w:pStyle w:val="Text1"/>
        <w:pBdr>
          <w:top w:val="single" w:sz="4" w:space="1" w:color="auto"/>
          <w:left w:val="single" w:sz="4" w:space="4" w:color="auto"/>
          <w:bottom w:val="single" w:sz="4" w:space="1" w:color="auto"/>
          <w:right w:val="single" w:sz="4" w:space="4" w:color="auto"/>
        </w:pBdr>
        <w:rPr>
          <w:noProof/>
        </w:rPr>
      </w:pPr>
      <w:r>
        <w:rPr>
          <w:noProof/>
        </w:rPr>
        <w:t>Očakávaná pridaná hodnota vytvorená na úrovni EÚ (</w:t>
      </w:r>
      <w:r>
        <w:rPr>
          <w:i/>
          <w:noProof/>
        </w:rPr>
        <w:t>ex post</w:t>
      </w:r>
      <w:r>
        <w:rPr>
          <w:noProof/>
        </w:rPr>
        <w:t>)</w:t>
      </w:r>
    </w:p>
    <w:p w:rsidR="00B90EE1" w:rsidRDefault="003A231F">
      <w:pPr>
        <w:pStyle w:val="Text1"/>
        <w:pBdr>
          <w:top w:val="single" w:sz="4" w:space="1" w:color="auto"/>
          <w:left w:val="single" w:sz="4" w:space="4" w:color="auto"/>
          <w:bottom w:val="single" w:sz="4" w:space="1" w:color="auto"/>
          <w:right w:val="single" w:sz="4" w:space="4" w:color="auto"/>
        </w:pBdr>
        <w:rPr>
          <w:noProof/>
        </w:rPr>
      </w:pPr>
      <w:r>
        <w:rPr>
          <w:noProof/>
        </w:rPr>
        <w:t>V týchto záležitostiach zatiaľ neexistuje medzi členskými štátmi a Komisiou štruktúrovaná koordinácia ani spolupráca. Cieľom navrhovaného nari</w:t>
      </w:r>
      <w:r>
        <w:rPr>
          <w:noProof/>
        </w:rPr>
        <w:t>adenia a sprievodného oznámenia Komisie je zriadiť kontaktné miesta a oznámiť vytvorenie skupiny pre spoluprácu určenej na zlepšenie koordinácie a spolupráce, výmenu informácií a najlepších postupov. V navrhovanom nariadení sa členským štátom ukladá jednoz</w:t>
      </w:r>
      <w:r>
        <w:rPr>
          <w:noProof/>
        </w:rPr>
        <w:t>načná povinnosť vymieňať si informácie navzájom a s Komisiou prostredníctvom siete kontaktných miest. Očakáva sa, že to povedie k lepšej koordinácii pri posudzovaní rizika spojeného s bezpečnosťou a verejným poriadkom a že to vo všetkých členských zvýši po</w:t>
      </w:r>
      <w:r>
        <w:rPr>
          <w:noProof/>
        </w:rPr>
        <w:t>vedomie o týchto citlivých otázkach bez toho, aby boli členské štáty nútené zaviesť systém preverovania PZI.</w:t>
      </w:r>
    </w:p>
    <w:p w:rsidR="00B90EE1" w:rsidRDefault="003A231F">
      <w:pPr>
        <w:pStyle w:val="ManualHeading3"/>
        <w:rPr>
          <w:bCs/>
          <w:noProof/>
          <w:szCs w:val="24"/>
        </w:rPr>
      </w:pPr>
      <w:r>
        <w:rPr>
          <w:noProof/>
        </w:rPr>
        <w:t>1.5.3.</w:t>
      </w:r>
      <w:r>
        <w:rPr>
          <w:noProof/>
        </w:rPr>
        <w:tab/>
        <w:t>Poznatky získané z podobných skúseností v minulosti</w:t>
      </w:r>
    </w:p>
    <w:p w:rsidR="00B90EE1" w:rsidRDefault="003A231F">
      <w:pPr>
        <w:pStyle w:val="Text1"/>
        <w:pBdr>
          <w:top w:val="single" w:sz="4" w:space="1" w:color="auto"/>
          <w:left w:val="single" w:sz="4" w:space="4" w:color="auto"/>
          <w:bottom w:val="single" w:sz="4" w:space="1" w:color="auto"/>
          <w:right w:val="single" w:sz="4" w:space="4" w:color="auto"/>
        </w:pBdr>
        <w:rPr>
          <w:noProof/>
        </w:rPr>
      </w:pPr>
      <w:r>
        <w:rPr>
          <w:noProof/>
        </w:rPr>
        <w:t xml:space="preserve">Ide o novú iniciatívu, nie sú preto žiadne predchádzajúce skúsenosti. Komisia bude </w:t>
      </w:r>
      <w:r>
        <w:rPr>
          <w:noProof/>
        </w:rPr>
        <w:t>musieť nadobudnúť príslušnú expertízu.</w:t>
      </w:r>
    </w:p>
    <w:p w:rsidR="00B90EE1" w:rsidRDefault="003A231F">
      <w:pPr>
        <w:pStyle w:val="ManualHeading3"/>
        <w:rPr>
          <w:bCs/>
          <w:noProof/>
          <w:szCs w:val="24"/>
        </w:rPr>
      </w:pPr>
      <w:r>
        <w:rPr>
          <w:noProof/>
        </w:rPr>
        <w:t>1.5.4.</w:t>
      </w:r>
      <w:r>
        <w:rPr>
          <w:noProof/>
        </w:rPr>
        <w:tab/>
        <w:t>Zlučiteľnosť a možná synergia s inými vhodnými nástrojmi</w:t>
      </w:r>
    </w:p>
    <w:p w:rsidR="00B90EE1" w:rsidRDefault="003A231F">
      <w:pPr>
        <w:pStyle w:val="Text1"/>
        <w:pBdr>
          <w:top w:val="single" w:sz="4" w:space="1" w:color="auto"/>
          <w:left w:val="single" w:sz="4" w:space="4" w:color="auto"/>
          <w:bottom w:val="single" w:sz="4" w:space="1" w:color="auto"/>
          <w:right w:val="single" w:sz="4" w:space="4" w:color="auto"/>
        </w:pBdr>
        <w:rPr>
          <w:noProof/>
        </w:rPr>
      </w:pPr>
      <w:r>
        <w:rPr>
          <w:noProof/>
        </w:rPr>
        <w:t>Navrhované nariadenie bude dopĺňať iné politiky a iniciatívy Únie, je s nimi v súlade a neovplyvňuje ich. Ide najmä o tieto politiky a iniciatívy:</w:t>
      </w:r>
    </w:p>
    <w:p w:rsidR="00B90EE1" w:rsidRDefault="003A231F">
      <w:pPr>
        <w:pStyle w:val="Text1"/>
        <w:pBdr>
          <w:top w:val="single" w:sz="4" w:space="1" w:color="auto"/>
          <w:left w:val="single" w:sz="4" w:space="4" w:color="auto"/>
          <w:bottom w:val="single" w:sz="4" w:space="1" w:color="auto"/>
          <w:right w:val="single" w:sz="4" w:space="4" w:color="auto"/>
        </w:pBdr>
        <w:rPr>
          <w:noProof/>
        </w:rPr>
      </w:pPr>
      <w:r>
        <w:rPr>
          <w:noProof/>
        </w:rPr>
        <w:t xml:space="preserve">Voľný </w:t>
      </w:r>
      <w:r>
        <w:rPr>
          <w:noProof/>
        </w:rPr>
        <w:t>pohyb kapitálu a sloboda usadiť sa</w:t>
      </w:r>
    </w:p>
    <w:p w:rsidR="00B90EE1" w:rsidRDefault="003A231F">
      <w:pPr>
        <w:pStyle w:val="Text1"/>
        <w:pBdr>
          <w:top w:val="single" w:sz="4" w:space="1" w:color="auto"/>
          <w:left w:val="single" w:sz="4" w:space="4" w:color="auto"/>
          <w:bottom w:val="single" w:sz="4" w:space="1" w:color="auto"/>
          <w:right w:val="single" w:sz="4" w:space="4" w:color="auto"/>
        </w:pBdr>
        <w:rPr>
          <w:noProof/>
        </w:rPr>
      </w:pPr>
      <w:r>
        <w:rPr>
          <w:noProof/>
        </w:rPr>
        <w:t>Priama zahraničná investícia predstavuje pohyb kapitálu podľa článku 63 ZFEÚ. V článku 63 ZFEÚ sa zakazujú všetky obmedzenia pohybu kapitálu medzi členskými štátmi navzájom a medzi členskými štátmi a tretími krajinami. Me</w:t>
      </w:r>
      <w:r>
        <w:rPr>
          <w:noProof/>
        </w:rPr>
        <w:t xml:space="preserve">chanizmy preverovania investícií môžu predstavovať obmedzenie voľného pohybu kapitálu, </w:t>
      </w:r>
      <w:r>
        <w:rPr>
          <w:noProof/>
        </w:rPr>
        <w:lastRenderedPageBreak/>
        <w:t>ktoré však môže byť napriek tomu opodstatnené a primerané z hľadiska dosiahnutia cieľov vymedzených v zmluve, ako aj z dôvodu verejnej bezpečnosti a verejného poriadku (</w:t>
      </w:r>
      <w:r>
        <w:rPr>
          <w:noProof/>
        </w:rPr>
        <w:t>článok 65 ZFEÚ) alebo zo závažných dôvodov verejného záujmu, ako stanovil Súdny dvor Európskej únie.</w:t>
      </w:r>
    </w:p>
    <w:p w:rsidR="00B90EE1" w:rsidRDefault="003A231F">
      <w:pPr>
        <w:pStyle w:val="Text1"/>
        <w:pBdr>
          <w:top w:val="single" w:sz="4" w:space="1" w:color="auto"/>
          <w:left w:val="single" w:sz="4" w:space="4" w:color="auto"/>
          <w:bottom w:val="single" w:sz="4" w:space="1" w:color="auto"/>
          <w:right w:val="single" w:sz="4" w:space="4" w:color="auto"/>
        </w:pBdr>
        <w:rPr>
          <w:noProof/>
        </w:rPr>
      </w:pPr>
      <w:r>
        <w:rPr>
          <w:noProof/>
        </w:rPr>
        <w:t>Ako sa ozrejmilo v judikatúre Súdneho dvora, keďže členské štáty majú priestor na voľnú úvahu pri určovaní požiadaviek verejného poriadku a verejnej bezpeč</w:t>
      </w:r>
      <w:r>
        <w:rPr>
          <w:noProof/>
        </w:rPr>
        <w:t>nosti podľa svojich vnútroštátnych potrieb, uvedené verejné záujmy nemôžu jednostranne určovať členské štáty bez akejkoľvek kontroly zo strany inštitúcií EÚ a musia sa vykladať striktne: možno sa na ne odvolávať, len ak existuje skutočné a dostatočne závaž</w:t>
      </w:r>
      <w:r>
        <w:rPr>
          <w:noProof/>
        </w:rPr>
        <w:t>né ohrozenie základného záujmu spoločnosti. Obmedzovanie základných slobôd sa nesmie uplatňovať nesprávne, aby v skutočnosti plnilo len čisto ekonomické účely. Mechanizmus preverovania investícií by mal byť okrem toho v súlade so všeobecnými zásadami práva</w:t>
      </w:r>
      <w:r>
        <w:rPr>
          <w:noProof/>
        </w:rPr>
        <w:t xml:space="preserve"> Únie, predovšetkým zásadami proporcionality a právnej istoty. Tieto zásady si vyžadujú, aby boli postup a kritériá preverovania investícií vymedzené nediskriminačne a dostatočne presne. Potenciálni investori musia mať možnosť poznať takéto mechanizmy vopr</w:t>
      </w:r>
      <w:r>
        <w:rPr>
          <w:noProof/>
        </w:rPr>
        <w:t>ed a požiadať o súdne preskúmanie.</w:t>
      </w:r>
    </w:p>
    <w:p w:rsidR="00B90EE1" w:rsidRDefault="003A231F">
      <w:pPr>
        <w:pStyle w:val="Text1"/>
        <w:pBdr>
          <w:top w:val="single" w:sz="4" w:space="1" w:color="auto"/>
          <w:left w:val="single" w:sz="4" w:space="4" w:color="auto"/>
          <w:bottom w:val="single" w:sz="4" w:space="1" w:color="auto"/>
          <w:right w:val="single" w:sz="4" w:space="4" w:color="auto"/>
        </w:pBdr>
        <w:rPr>
          <w:noProof/>
        </w:rPr>
      </w:pPr>
      <w:r>
        <w:rPr>
          <w:noProof/>
        </w:rPr>
        <w:t>Navrhované nariadenie zodpovedá týmto požiadavkám. Potvrdzuje sa v ňom, že členské štáty môžu preverovať priame zahraničné investície z hľadiska bezpečnosti alebo verejného poriadku, a nastoľujú sa v ňom základné procedur</w:t>
      </w:r>
      <w:r>
        <w:rPr>
          <w:noProof/>
        </w:rPr>
        <w:t>álne požiadavky na mechanizmy preverovania v členských štátoch, ako sú transparentnosť, nediskriminácia medzi jednotlivými tretími krajinami a súdne preskúmanie.</w:t>
      </w:r>
    </w:p>
    <w:p w:rsidR="00B90EE1" w:rsidRDefault="003A231F">
      <w:pPr>
        <w:pStyle w:val="Text1"/>
        <w:pBdr>
          <w:top w:val="single" w:sz="4" w:space="1" w:color="auto"/>
          <w:left w:val="single" w:sz="4" w:space="4" w:color="auto"/>
          <w:bottom w:val="single" w:sz="4" w:space="1" w:color="auto"/>
          <w:right w:val="single" w:sz="4" w:space="4" w:color="auto"/>
        </w:pBdr>
        <w:rPr>
          <w:noProof/>
        </w:rPr>
      </w:pPr>
      <w:r>
        <w:rPr>
          <w:noProof/>
        </w:rPr>
        <w:t>Priama zahraničná investícia môže viesť k usadeniu sa investora z tretej krajiny v EÚ, napr. k</w:t>
      </w:r>
      <w:r>
        <w:rPr>
          <w:noProof/>
        </w:rPr>
        <w:t>eď takýto investor nadobudne kontrolný podiel v podniku so sídlom v EÚ. V článku 49 ZFEÚ sa zakazujú obmedzenia slobody usadiť sa štátnych príslušníkov jedného členského štátu na území iného členského štátu.</w:t>
      </w:r>
    </w:p>
    <w:p w:rsidR="00B90EE1" w:rsidRDefault="003A231F">
      <w:pPr>
        <w:pStyle w:val="Text1"/>
        <w:pBdr>
          <w:top w:val="single" w:sz="4" w:space="1" w:color="auto"/>
          <w:left w:val="single" w:sz="4" w:space="4" w:color="auto"/>
          <w:bottom w:val="single" w:sz="4" w:space="1" w:color="auto"/>
          <w:right w:val="single" w:sz="4" w:space="4" w:color="auto"/>
        </w:pBdr>
        <w:rPr>
          <w:noProof/>
        </w:rPr>
      </w:pPr>
      <w:r>
        <w:rPr>
          <w:noProof/>
        </w:rPr>
        <w:t>Zatiaľ čo článok 63 ZFEÚ sa uplatňuje aj na pohy</w:t>
      </w:r>
      <w:r>
        <w:rPr>
          <w:noProof/>
        </w:rPr>
        <w:t>b kapitálu z tretích krajín, článok 49 ZFEÚ sa neuplatňuje na usadenie sa štátnych príslušníkov tretích krajín v EÚ. Navrhovaným nariadením preto nie sú dotknuté ustanovenia zmluvy týkajúce sa slobody usadiť sa.</w:t>
      </w:r>
    </w:p>
    <w:p w:rsidR="00B90EE1" w:rsidRDefault="003A231F">
      <w:pPr>
        <w:pStyle w:val="Text1"/>
        <w:pBdr>
          <w:top w:val="single" w:sz="4" w:space="1" w:color="auto"/>
          <w:left w:val="single" w:sz="4" w:space="4" w:color="auto"/>
          <w:bottom w:val="single" w:sz="4" w:space="1" w:color="auto"/>
          <w:right w:val="single" w:sz="4" w:space="4" w:color="auto"/>
        </w:pBdr>
        <w:rPr>
          <w:noProof/>
        </w:rPr>
      </w:pPr>
      <w:r>
        <w:rPr>
          <w:noProof/>
        </w:rPr>
        <w:t>Nariadenie EÚ o fúziách</w:t>
      </w:r>
    </w:p>
    <w:p w:rsidR="00B90EE1" w:rsidRDefault="003A231F">
      <w:pPr>
        <w:pStyle w:val="Text1"/>
        <w:pBdr>
          <w:top w:val="single" w:sz="4" w:space="1" w:color="auto"/>
          <w:left w:val="single" w:sz="4" w:space="4" w:color="auto"/>
          <w:bottom w:val="single" w:sz="4" w:space="1" w:color="auto"/>
          <w:right w:val="single" w:sz="4" w:space="4" w:color="auto"/>
        </w:pBdr>
        <w:rPr>
          <w:noProof/>
        </w:rPr>
      </w:pPr>
      <w:r>
        <w:rPr>
          <w:noProof/>
        </w:rPr>
        <w:t>Priame zahraničné in</w:t>
      </w:r>
      <w:r>
        <w:rPr>
          <w:noProof/>
        </w:rPr>
        <w:t xml:space="preserve">vestície môžu mať formu fúzií, nadobudnutí alebo spoločných podnikov, ktoré predstavujú koncentrácie patriace do rozsahu pôsobnosti nariadenia EÚ o fúziách. V súvislosti s takýmito koncentráciami sa v článku 21 ods. 4 nariadenia EÚ o fúziách umožňuje, aby </w:t>
      </w:r>
      <w:r>
        <w:rPr>
          <w:noProof/>
        </w:rPr>
        <w:t xml:space="preserve">členské štáty prijímali primerané opatrenia na ochranu oprávnených záujmov zlučiteľné so všeobecnými zásadami a inými ustanoveniami práva Únie. V článku 21 ods. 4 druhom pododseku sa na tieto účely výslovne uznávajú za oprávnené záujmy verejná bezpečnosť, </w:t>
      </w:r>
      <w:r>
        <w:rPr>
          <w:noProof/>
        </w:rPr>
        <w:t>pluralita masovokomunikačných prostriedkov a pravidlá obozretnosti. Pokiaľ sú rozhodnutia o preverení prijaté podľa navrhovaného nariadenia s cieľom chrániť uvedené záujmy zlučiteľné so všeobecnými zásadami a inými ustanoveniami práva Únie, netreba ich Kom</w:t>
      </w:r>
      <w:r>
        <w:rPr>
          <w:noProof/>
        </w:rPr>
        <w:t>isii oznamovať podľa článku 21 ods. 4 tretieho pododseku nariadenia EÚ o fúziách. Naopak, keď členský štát zamýšľa prijať rozhodnutie o preverení podľa navrhovaného nariadenia s cieľom chrániť iné verejné záujmy, bude potrebné to Komisii oznámiť podľa člán</w:t>
      </w:r>
      <w:r>
        <w:rPr>
          <w:noProof/>
        </w:rPr>
        <w:t xml:space="preserve">ku 21 ods. 4 tretieho pododseku nariadenia EÚ o fúziách, ak sa rozhodnutie týka koncentrácie, ktorá spadá do rozsahu pôsobnosti nariadenia EÚ o fúziách. Komisia zabezpečí konzistentnosť pri uplatňovaní navrhovaného nariadenia a článku 21 ods. 4 nariadenia </w:t>
      </w:r>
      <w:r>
        <w:rPr>
          <w:noProof/>
        </w:rPr>
        <w:t xml:space="preserve">EÚ o fúziách. Pokiaľ sa príslušné rozsahy pôsobnosti daných dvoch nariadení prekrývajú, dôvody na preverovanie uvedené v článku 1 navrhovaného nariadenia </w:t>
      </w:r>
      <w:r>
        <w:rPr>
          <w:noProof/>
        </w:rPr>
        <w:lastRenderedPageBreak/>
        <w:t>a koncepcia oprávnených záujmov v zmysle článku 21 ods. 4 tretieho pododseku nariadenia EÚ o fúziách b</w:t>
      </w:r>
      <w:r>
        <w:rPr>
          <w:noProof/>
        </w:rPr>
        <w:t>y sa mali vykladať koherentne bez toho, aby tým bolo dotknuté posúdenie zlučiteľnosti vnútroštátnych opatrení zameraných na ochranu týchto záujmov so všeobecnými zásadami a inými ustanoveniami práva Únie.</w:t>
      </w:r>
    </w:p>
    <w:p w:rsidR="00B90EE1" w:rsidRDefault="003A231F">
      <w:pPr>
        <w:pStyle w:val="Text1"/>
        <w:pBdr>
          <w:top w:val="single" w:sz="4" w:space="1" w:color="auto"/>
          <w:left w:val="single" w:sz="4" w:space="4" w:color="auto"/>
          <w:bottom w:val="single" w:sz="4" w:space="1" w:color="auto"/>
          <w:right w:val="single" w:sz="4" w:space="4" w:color="auto"/>
        </w:pBdr>
        <w:rPr>
          <w:noProof/>
        </w:rPr>
      </w:pPr>
      <w:r>
        <w:rPr>
          <w:noProof/>
        </w:rPr>
        <w:t>Energetika</w:t>
      </w:r>
    </w:p>
    <w:p w:rsidR="00B90EE1" w:rsidRDefault="003A231F">
      <w:pPr>
        <w:pStyle w:val="Text1"/>
        <w:pBdr>
          <w:top w:val="single" w:sz="4" w:space="1" w:color="auto"/>
          <w:left w:val="single" w:sz="4" w:space="4" w:color="auto"/>
          <w:bottom w:val="single" w:sz="4" w:space="1" w:color="auto"/>
          <w:right w:val="single" w:sz="4" w:space="4" w:color="auto"/>
        </w:pBdr>
        <w:rPr>
          <w:noProof/>
        </w:rPr>
      </w:pPr>
      <w:r>
        <w:rPr>
          <w:noProof/>
        </w:rPr>
        <w:t>V priebehu rokov Únia prijala právne pre</w:t>
      </w:r>
      <w:r>
        <w:rPr>
          <w:noProof/>
        </w:rPr>
        <w:t xml:space="preserve">dpisy na dosiahnutie väčšej bezpečnosti dodávok v oblasti energetiky Únie a jej členských štátov. V smernici o kritickej infraštruktúre (smernica Rady 2008/114/ES) sa požaduje, aby členské štáty identifikovali európske kritické infraštruktúry a pripravili </w:t>
      </w:r>
      <w:r>
        <w:rPr>
          <w:noProof/>
        </w:rPr>
        <w:t>bezpečnostné plány. Smernice o elektrine a zemnom plyne, ktoré sú súčasťou tzv. tretieho energetického balíka (smernica 2009/72/ES o spoločných pravidlách pre vnútorný trh s elektrinou, smernica 2009/73/ES o spoločných pravidlách pre vnútorný trh so zemným</w:t>
      </w:r>
      <w:r>
        <w:rPr>
          <w:noProof/>
        </w:rPr>
        <w:t xml:space="preserve"> plynom) obsahujú ustanovenia, na základe ktorých sa vyžaduje posúdenie následkov na bezpečnosť dodávok pre dotknutý členský štát, ale aj pre EÚ ako celok, keď je prepravná sieť zemného plynu alebo elektriny členského štátu pod kontrolou prevádzkovateľa z </w:t>
      </w:r>
      <w:r>
        <w:rPr>
          <w:noProof/>
        </w:rPr>
        <w:t>tretej krajiny. Nariadenie o bezpečnosti dodávok plynu sa okrem toho osobitne zameriava na obavy spojené s bezpečnosťou dodávok. Požaduje sa v ňom, aby členské štáty vykonali posúdenia rizika na vnútroštátnej a regionálnej úrovni, pričom posúdia všetky pot</w:t>
      </w:r>
      <w:r>
        <w:rPr>
          <w:noProof/>
        </w:rPr>
        <w:t>enciálne riziká pre plynárenskú sústavu vrátane rizík súvisiacich s tým, že infraštruktúru dôležitú z hľadiska bezpečnosti dodávok kontrolujú subjekty z tretích krajín, a aby pripravili komplexné preventívne akčné plány a núdzové plány, ktoré budú obsahova</w:t>
      </w:r>
      <w:r>
        <w:rPr>
          <w:noProof/>
        </w:rPr>
        <w:t>ť opatrenia na zmiernenie uvedených rizík. V rovnakom duchu návrh nariadenia o pripravenosti na riziká obsahuje obdobné ustanovenia pre sektor elektrickej energie. Energetické subjekty sú ako podstatné služby výslovne začlenené aj do smernice NIS (smernice</w:t>
      </w:r>
      <w:r>
        <w:rPr>
          <w:noProof/>
        </w:rPr>
        <w:t xml:space="preserve"> 2016/1148 o bezpečnosti sietí infraštruktúry).</w:t>
      </w:r>
    </w:p>
    <w:p w:rsidR="00B90EE1" w:rsidRDefault="003A231F">
      <w:pPr>
        <w:pStyle w:val="Text1"/>
        <w:pBdr>
          <w:top w:val="single" w:sz="4" w:space="1" w:color="auto"/>
          <w:left w:val="single" w:sz="4" w:space="4" w:color="auto"/>
          <w:bottom w:val="single" w:sz="4" w:space="1" w:color="auto"/>
          <w:right w:val="single" w:sz="4" w:space="4" w:color="auto"/>
        </w:pBdr>
        <w:rPr>
          <w:noProof/>
        </w:rPr>
      </w:pPr>
      <w:r>
        <w:rPr>
          <w:noProof/>
        </w:rPr>
        <w:t>Suroviny</w:t>
      </w:r>
    </w:p>
    <w:p w:rsidR="00B90EE1" w:rsidRDefault="003A231F">
      <w:pPr>
        <w:pStyle w:val="Text1"/>
        <w:pBdr>
          <w:top w:val="single" w:sz="4" w:space="1" w:color="auto"/>
          <w:left w:val="single" w:sz="4" w:space="4" w:color="auto"/>
          <w:bottom w:val="single" w:sz="4" w:space="1" w:color="auto"/>
          <w:right w:val="single" w:sz="4" w:space="4" w:color="auto"/>
        </w:pBdr>
        <w:rPr>
          <w:noProof/>
        </w:rPr>
      </w:pPr>
      <w:r>
        <w:rPr>
          <w:noProof/>
        </w:rPr>
        <w:t>Komisia spustila v roku 2008 európsku iniciatívu v oblasti surovín, ktorej cieľom je riešiť vzrastajúce obavy týkajúce sa zabezpečenia cenných surovín pre hospodárstvo Únie. Ide o integrovanú stratég</w:t>
      </w:r>
      <w:r>
        <w:rPr>
          <w:noProof/>
        </w:rPr>
        <w:t>iu, v ktorej sa stanovujú adresné opatrenia na zabezpečenie a zlepšenie prístupu EÚ k surovinám. Jedným z hlavných opatrení tejto iniciatívy bolo vypracovať zoznam kritických surovín na úrovni EÚ. Na tomto zozname sa uvádzajú suroviny, ktoré dosahujú alebo</w:t>
      </w:r>
      <w:r>
        <w:rPr>
          <w:noProof/>
        </w:rPr>
        <w:t xml:space="preserve"> prekračujú limity z hľadiska hospodárskeho významu aj z hľadiska rizika zabezpečenia dodávok. Komisia stanovila prvý zoznam v roku 2011 a zaviazala sa ho aktualizovať aspoň každé tri roky v snahe zohľadniť vývoj na trhu, v oblasti produkcie a technologick</w:t>
      </w:r>
      <w:r>
        <w:rPr>
          <w:noProof/>
        </w:rPr>
        <w:t>ý vývoj. V roku 2014 bol uverejnený druhý zoznam a súbežne s týmto nariadením sa uverejňuje nový zoznam.</w:t>
      </w:r>
    </w:p>
    <w:p w:rsidR="00B90EE1" w:rsidRDefault="003A231F">
      <w:pPr>
        <w:pStyle w:val="Text1"/>
        <w:pBdr>
          <w:top w:val="single" w:sz="4" w:space="1" w:color="auto"/>
          <w:left w:val="single" w:sz="4" w:space="4" w:color="auto"/>
          <w:bottom w:val="single" w:sz="4" w:space="1" w:color="auto"/>
          <w:right w:val="single" w:sz="4" w:space="4" w:color="auto"/>
        </w:pBdr>
        <w:rPr>
          <w:noProof/>
        </w:rPr>
      </w:pPr>
      <w:r>
        <w:rPr>
          <w:noProof/>
        </w:rPr>
        <w:t>Zoznam kritických surovín by mal prispieť k stimulovaniu európskej produkcie kritických surovín a uľahčovať začatie nových ťažobných a recyklačných čin</w:t>
      </w:r>
      <w:r>
        <w:rPr>
          <w:noProof/>
        </w:rPr>
        <w:t>ností. Komisia v posledných rokoch zohľadnila zoznam kritických surovín prostredníctvom celého radu opatrení v oblasti obchodu, medzinárodných vzťahov, výskumu a inovácie, vedomostnej základne a obehového hospodárstva. EÚ podporuje doplňujúce politické ini</w:t>
      </w:r>
      <w:r>
        <w:rPr>
          <w:noProof/>
        </w:rPr>
        <w:t>ciatívy členských štátov, ktoré sú zapojené aj do vypracúvania zoznamu kritických surovín.</w:t>
      </w:r>
    </w:p>
    <w:p w:rsidR="00B90EE1" w:rsidRDefault="003A231F">
      <w:pPr>
        <w:pStyle w:val="Text1"/>
        <w:pBdr>
          <w:top w:val="single" w:sz="4" w:space="1" w:color="auto"/>
          <w:left w:val="single" w:sz="4" w:space="4" w:color="auto"/>
          <w:bottom w:val="single" w:sz="4" w:space="1" w:color="auto"/>
          <w:right w:val="single" w:sz="4" w:space="4" w:color="auto"/>
        </w:pBdr>
        <w:rPr>
          <w:noProof/>
        </w:rPr>
      </w:pPr>
      <w:r>
        <w:rPr>
          <w:noProof/>
        </w:rPr>
        <w:t>Kybernetická bezpečnosť a elektronické komunikácie</w:t>
      </w:r>
    </w:p>
    <w:p w:rsidR="00B90EE1" w:rsidRDefault="003A231F">
      <w:pPr>
        <w:pStyle w:val="Text1"/>
        <w:pBdr>
          <w:top w:val="single" w:sz="4" w:space="1" w:color="auto"/>
          <w:left w:val="single" w:sz="4" w:space="4" w:color="auto"/>
          <w:bottom w:val="single" w:sz="4" w:space="1" w:color="auto"/>
          <w:right w:val="single" w:sz="4" w:space="4" w:color="auto"/>
        </w:pBdr>
        <w:rPr>
          <w:noProof/>
        </w:rPr>
      </w:pPr>
      <w:r>
        <w:rPr>
          <w:noProof/>
        </w:rPr>
        <w:lastRenderedPageBreak/>
        <w:t>Navrhované nariadenie bude dopĺňať politiky EÚ v oblasti elektronických komunikácií, kybernetickej bezpečnosti, oc</w:t>
      </w:r>
      <w:r>
        <w:rPr>
          <w:noProof/>
        </w:rPr>
        <w:t>hrany kritickej infraštruktúry a priemyselnej konkurencieschopnosti produktov kybernetickej bezpečnosti a služieb v oblasti kybernetickej bezpečnosti. V spoločnom oznámení Komisie a vysokej predstaviteľky EÚ pre zahraničné veci a bezpečnostnú politiku o st</w:t>
      </w:r>
      <w:r>
        <w:rPr>
          <w:noProof/>
        </w:rPr>
        <w:t>ratégii kybernetickej bezpečnosti Európskej únie sa predostrela vízia otvoreného, bezpečného a chráneného kybernetického priestoru. Nasledovalo nariadenie č. 283/2014, v ktorom sa určujú projekty spoločného záujmu, pokiaľ ide o transeurópske siete v oblast</w:t>
      </w:r>
      <w:r>
        <w:rPr>
          <w:noProof/>
        </w:rPr>
        <w:t xml:space="preserve">i telekomunikačnej infraštruktúry. V smernici 2016/1148 sa navyše ukladajú členským štátom povinnosti pripravenosti z hľadiska kybernetickej bezpečnosti a pre prevádzkovateľov základných služieb a poskytovateľov digitálnych služieb sa zavádzajú požiadavky </w:t>
      </w:r>
      <w:r>
        <w:rPr>
          <w:noProof/>
        </w:rPr>
        <w:t>pripravenosti a oznamovania. V júli 2016 Komisia oznámila vytvorenie verejno-súkromného partnerstva v oblasti kybernetickej bezpečnosti a zavedenie ďalších trhovo orientovaných opatrení politiky na stimulovanie priemyselných kapacít v Európe. Na uvedené úč</w:t>
      </w:r>
      <w:r>
        <w:rPr>
          <w:noProof/>
        </w:rPr>
        <w:t>ely sa využívajú aj finančné prostriedky EÚ z programu Horizont 2020 a Nástroja na prepájanie Európy. V septembri 2017 Komisia takisto predložila oznámenie, v ktorom sa stanovuje komplexný prístup EÚ ku kybernetickej bezpečnosti, a to aj v celosvetovom mer</w:t>
      </w:r>
      <w:r>
        <w:rPr>
          <w:noProof/>
        </w:rPr>
        <w:t>adle, a navrhla aj nariadenie, v ktorom sa zriaďuje celoúnijný rámec bezpečnostnej certifikácie pre informačné a komunikačné technológie s cieľom zabrániť fragmentácii trhov a dosiahnuť, aby používatelia ľahšie zistili, či sú produkty a služby IKT (vrátane</w:t>
      </w:r>
      <w:r>
        <w:rPr>
          <w:noProof/>
        </w:rPr>
        <w:t xml:space="preserve"> pripojených predmetov) kyberneticky bezpečné.</w:t>
      </w:r>
    </w:p>
    <w:p w:rsidR="00B90EE1" w:rsidRDefault="003A231F">
      <w:pPr>
        <w:pStyle w:val="Text1"/>
        <w:pBdr>
          <w:top w:val="single" w:sz="4" w:space="1" w:color="auto"/>
          <w:left w:val="single" w:sz="4" w:space="4" w:color="auto"/>
          <w:bottom w:val="single" w:sz="4" w:space="1" w:color="auto"/>
          <w:right w:val="single" w:sz="4" w:space="4" w:color="auto"/>
        </w:pBdr>
        <w:rPr>
          <w:noProof/>
        </w:rPr>
      </w:pPr>
      <w:r>
        <w:rPr>
          <w:noProof/>
        </w:rPr>
        <w:t>Letecká doprava</w:t>
      </w:r>
    </w:p>
    <w:p w:rsidR="00B90EE1" w:rsidRDefault="003A231F">
      <w:pPr>
        <w:pStyle w:val="Text1"/>
        <w:pBdr>
          <w:top w:val="single" w:sz="4" w:space="1" w:color="auto"/>
          <w:left w:val="single" w:sz="4" w:space="4" w:color="auto"/>
          <w:bottom w:val="single" w:sz="4" w:space="1" w:color="auto"/>
          <w:right w:val="single" w:sz="4" w:space="4" w:color="auto"/>
        </w:pBdr>
        <w:rPr>
          <w:noProof/>
        </w:rPr>
      </w:pPr>
      <w:r>
        <w:rPr>
          <w:noProof/>
        </w:rPr>
        <w:t xml:space="preserve">Navrhované nariadenie sa nedotkne nariadenia (ES) č. 1008/2008 o spoločných pravidlách prevádzky leteckých dopravných služieb v Spoločenstve, keďže nejde o mechanizmus preverovania investícií. </w:t>
      </w:r>
      <w:r>
        <w:rPr>
          <w:noProof/>
        </w:rPr>
        <w:t>Podľa nariadenia (ES) č. 1008/2008 je jednou z podmienok udelenia prevádzkovej licencie podniku na leteckú prepravu cestujúcich, pošty a/alebo nákladu za odplatu a/alebo v prenájme, aby uvedené členské štáty a/alebo štátni príslušníci členských štátov vlas</w:t>
      </w:r>
      <w:r>
        <w:rPr>
          <w:noProof/>
        </w:rPr>
        <w:t>tnili viac ako 50 % daného podniku a účinne ho riadili (článok 4).</w:t>
      </w:r>
    </w:p>
    <w:p w:rsidR="00B90EE1" w:rsidRDefault="003A231F">
      <w:pPr>
        <w:pStyle w:val="Text1"/>
        <w:pBdr>
          <w:top w:val="single" w:sz="4" w:space="1" w:color="auto"/>
          <w:left w:val="single" w:sz="4" w:space="4" w:color="auto"/>
          <w:bottom w:val="single" w:sz="4" w:space="1" w:color="auto"/>
          <w:right w:val="single" w:sz="4" w:space="4" w:color="auto"/>
        </w:pBdr>
        <w:rPr>
          <w:noProof/>
        </w:rPr>
      </w:pPr>
      <w:r>
        <w:rPr>
          <w:noProof/>
        </w:rPr>
        <w:t>Obozretné posudzovanie nadobudnutí vo finančnom sektore</w:t>
      </w:r>
    </w:p>
    <w:p w:rsidR="00B90EE1" w:rsidRDefault="003A231F">
      <w:pPr>
        <w:pStyle w:val="Text1"/>
        <w:pBdr>
          <w:top w:val="single" w:sz="4" w:space="1" w:color="auto"/>
          <w:left w:val="single" w:sz="4" w:space="4" w:color="auto"/>
          <w:bottom w:val="single" w:sz="4" w:space="1" w:color="auto"/>
          <w:right w:val="single" w:sz="4" w:space="4" w:color="auto"/>
        </w:pBdr>
        <w:rPr>
          <w:noProof/>
        </w:rPr>
      </w:pPr>
      <w:r>
        <w:rPr>
          <w:noProof/>
        </w:rPr>
        <w:t>V právnych predpisoch EÚ vo finančnom sektore sa pre príslušné orgány stanovuje právomoc vykonávať obozretné posudzovanie nadobudnutí</w:t>
      </w:r>
      <w:r>
        <w:rPr>
          <w:noProof/>
        </w:rPr>
        <w:t xml:space="preserve"> a zvýšení podielov vo finančných inštitúciách (t. j. úverových inštitúciách, investičných spoločnostiach a poisťovniach a zaisťovniach). Stanovujú sa v nich požiadavky v oblasti oznamovania, procesné pravidlá a hodnotiace kritériá pre takéto posúdenia. Ci</w:t>
      </w:r>
      <w:r>
        <w:rPr>
          <w:noProof/>
        </w:rPr>
        <w:t>eľom týchto ustanovení je zabezpečiť riadne a obozretné riadenie finančných inštitúcií. Tieto pravidlá sa uvádzajú v smernici 2007/44/ES o procesných pravidlách a kritériách hodnotenia obozretného posudzovania nadobudnutí a zvýšení podielov vo finančnom se</w:t>
      </w:r>
      <w:r>
        <w:rPr>
          <w:noProof/>
        </w:rPr>
        <w:t>ktore, smernici 2013/36/EÚ o prístupe k činnosti úverových inštitúcií a prudenciálnom dohľade nad úverovými inštitúciami a investičnými spoločnosťami, smernici 2009/138/ES o začatí a vykonávaní poistenia a zaistenia (Solventnosť II) a smernici 2014/65/EÚ o</w:t>
      </w:r>
      <w:r>
        <w:rPr>
          <w:noProof/>
        </w:rPr>
        <w:t> trhoch s finančnými nástrojmi.</w:t>
      </w:r>
    </w:p>
    <w:p w:rsidR="00B90EE1" w:rsidRDefault="003A231F">
      <w:pPr>
        <w:pStyle w:val="Text1"/>
        <w:pBdr>
          <w:top w:val="single" w:sz="4" w:space="1" w:color="auto"/>
          <w:left w:val="single" w:sz="4" w:space="4" w:color="auto"/>
          <w:bottom w:val="single" w:sz="4" w:space="1" w:color="auto"/>
          <w:right w:val="single" w:sz="4" w:space="4" w:color="auto"/>
        </w:pBdr>
        <w:rPr>
          <w:noProof/>
        </w:rPr>
      </w:pPr>
      <w:r>
        <w:rPr>
          <w:noProof/>
        </w:rPr>
        <w:t>Navrhované nariadenie splnomocní členské štáty, aby si ponechali alebo zaviedli mechanizmus na preverovanie priamych zahraničných inštitúcií z hľadiska bezpečnosti a verejného poriadku. Nebudú tým dotknuté pravidlá EÚ pre ob</w:t>
      </w:r>
      <w:r>
        <w:rPr>
          <w:noProof/>
        </w:rPr>
        <w:t>ozretné preskúmanie nadobudnutí kvalifikovanej účasti vo finančnom sektore, ktoré zostanú samostatným postupom s vlastným cieľom.</w:t>
      </w:r>
    </w:p>
    <w:p w:rsidR="00B90EE1" w:rsidRDefault="003A231F">
      <w:pPr>
        <w:pStyle w:val="Text1"/>
        <w:pBdr>
          <w:top w:val="single" w:sz="4" w:space="1" w:color="auto"/>
          <w:left w:val="single" w:sz="4" w:space="4" w:color="auto"/>
          <w:bottom w:val="single" w:sz="4" w:space="1" w:color="auto"/>
          <w:right w:val="single" w:sz="4" w:space="4" w:color="auto"/>
        </w:pBdr>
        <w:rPr>
          <w:noProof/>
        </w:rPr>
      </w:pPr>
      <w:r>
        <w:rPr>
          <w:noProof/>
        </w:rPr>
        <w:lastRenderedPageBreak/>
        <w:t>Kontrola vývozu položiek s dvojakým použitím</w:t>
      </w:r>
    </w:p>
    <w:p w:rsidR="00B90EE1" w:rsidRDefault="003A231F">
      <w:pPr>
        <w:pStyle w:val="Text1"/>
        <w:pBdr>
          <w:top w:val="single" w:sz="4" w:space="1" w:color="auto"/>
          <w:left w:val="single" w:sz="4" w:space="4" w:color="auto"/>
          <w:bottom w:val="single" w:sz="4" w:space="1" w:color="auto"/>
          <w:right w:val="single" w:sz="4" w:space="4" w:color="auto"/>
        </w:pBdr>
        <w:rPr>
          <w:noProof/>
        </w:rPr>
      </w:pPr>
      <w:r>
        <w:rPr>
          <w:noProof/>
        </w:rPr>
        <w:t>Navrhovaným nariadením nebude dotknutá kontrola vývozu položiek s dvojakým použit</w:t>
      </w:r>
      <w:r>
        <w:rPr>
          <w:noProof/>
        </w:rPr>
        <w:t>ím upravená nariadením (ES) č. 428/2009. Obchod s položkami s dvojakým použitím podlieha kontrolám, aby sa zabránilo rizikám, ktoré tieto položky môžu predstavovať pre medzinárodnú bezpečnosť. Kontroly vyplývajú z medzinárodných povinností a sú v súlade so</w:t>
      </w:r>
      <w:r>
        <w:rPr>
          <w:noProof/>
        </w:rPr>
        <w:t xml:space="preserve"> záväzkami dohodnutými v rámci mnohostranných režimov kontroly vývozu. Režim kontroly vývozu EÚ je upravený nariadením (ES) č. 428/2009, ktorým sa stanovuje režim Spoločenstva na kontrolu vývozov, prepravy, sprostredkovania a tranzitu položiek s dvojakým p</w:t>
      </w:r>
      <w:r>
        <w:rPr>
          <w:noProof/>
        </w:rPr>
        <w:t>oužitím, v ktorom sa stanovujú spoločné pravidlá kontroly, spoločný zoznam položiek s dvojakým použitím, ako aj koordinácia a spolupráca na podporu jednotného vykonávania a presadzovania v celej Únii. Nariadenie je záväzné a priamo uplatniteľné v celej EÚ.</w:t>
      </w:r>
    </w:p>
    <w:p w:rsidR="00B90EE1" w:rsidRDefault="003A231F">
      <w:pPr>
        <w:pStyle w:val="Text1"/>
        <w:pBdr>
          <w:top w:val="single" w:sz="4" w:space="1" w:color="auto"/>
          <w:left w:val="single" w:sz="4" w:space="4" w:color="auto"/>
          <w:bottom w:val="single" w:sz="4" w:space="1" w:color="auto"/>
          <w:right w:val="single" w:sz="4" w:space="4" w:color="auto"/>
        </w:pBdr>
        <w:rPr>
          <w:noProof/>
        </w:rPr>
      </w:pPr>
      <w:r>
        <w:rPr>
          <w:noProof/>
        </w:rPr>
        <w:t>Európska politika v oblasti kozmického priestoru</w:t>
      </w:r>
    </w:p>
    <w:p w:rsidR="00B90EE1" w:rsidRDefault="003A231F">
      <w:pPr>
        <w:pStyle w:val="Text1"/>
        <w:pBdr>
          <w:top w:val="single" w:sz="4" w:space="1" w:color="auto"/>
          <w:left w:val="single" w:sz="4" w:space="4" w:color="auto"/>
          <w:bottom w:val="single" w:sz="4" w:space="1" w:color="auto"/>
          <w:right w:val="single" w:sz="4" w:space="4" w:color="auto"/>
        </w:pBdr>
        <w:rPr>
          <w:noProof/>
        </w:rPr>
      </w:pPr>
      <w:r>
        <w:rPr>
          <w:noProof/>
        </w:rPr>
        <w:t xml:space="preserve">Komisia vo svojom oznámení s názvom Stratégia pre Európu v oblasti kozmického priestoru vyzdvihla dôležitosť riešenia zraniteľnosti európskych dodávateľských reťazcov. Zriadenie rámca na preverovanie </w:t>
      </w:r>
      <w:r>
        <w:rPr>
          <w:noProof/>
        </w:rPr>
        <w:t>priamych zahraničných investícií napomáha dosiahnutie tohto cieľa.</w:t>
      </w:r>
    </w:p>
    <w:p w:rsidR="00B90EE1" w:rsidRDefault="003A231F">
      <w:pPr>
        <w:pStyle w:val="Text1"/>
        <w:pBdr>
          <w:top w:val="single" w:sz="4" w:space="1" w:color="auto"/>
          <w:left w:val="single" w:sz="4" w:space="4" w:color="auto"/>
          <w:bottom w:val="single" w:sz="4" w:space="1" w:color="auto"/>
          <w:right w:val="single" w:sz="4" w:space="4" w:color="auto"/>
        </w:pBdr>
        <w:rPr>
          <w:noProof/>
        </w:rPr>
      </w:pPr>
      <w:r>
        <w:rPr>
          <w:noProof/>
        </w:rPr>
        <w:br w:type="page"/>
      </w:r>
      <w:r>
        <w:rPr>
          <w:noProof/>
        </w:rPr>
        <w:lastRenderedPageBreak/>
        <w:t>Trvanie a finančný vplyv</w:t>
      </w:r>
    </w:p>
    <w:p w:rsidR="00B90EE1" w:rsidRDefault="003A231F">
      <w:pPr>
        <w:pStyle w:val="Text1"/>
        <w:rPr>
          <w:b/>
          <w:noProof/>
        </w:rPr>
      </w:pPr>
      <w:r>
        <w:rPr>
          <w:noProof/>
        </w:rPr>
        <w:sym w:font="Wingdings" w:char="F0A8"/>
      </w:r>
      <w:r>
        <w:rPr>
          <w:b/>
          <w:i/>
          <w:noProof/>
        </w:rPr>
        <w:t xml:space="preserve"> </w:t>
      </w:r>
      <w:r>
        <w:rPr>
          <w:noProof/>
        </w:rPr>
        <w:t>Návrh/iniciatíva s </w:t>
      </w:r>
      <w:r>
        <w:rPr>
          <w:b/>
          <w:noProof/>
        </w:rPr>
        <w:t>obmedzeným trvaním</w:t>
      </w:r>
    </w:p>
    <w:p w:rsidR="00B90EE1" w:rsidRDefault="003A231F">
      <w:pPr>
        <w:pStyle w:val="ListDash2"/>
        <w:rPr>
          <w:noProof/>
        </w:rPr>
      </w:pPr>
      <w:r>
        <w:rPr>
          <w:noProof/>
        </w:rPr>
        <w:sym w:font="Wingdings" w:char="F0A8"/>
      </w:r>
      <w:r>
        <w:rPr>
          <w:noProof/>
        </w:rPr>
        <w:tab/>
        <w:t>Návrh/iniciatíva je v platnosti od [DD/MM]RRRR do [DD/MM]RRRR.</w:t>
      </w:r>
    </w:p>
    <w:p w:rsidR="00B90EE1" w:rsidRDefault="003A231F">
      <w:pPr>
        <w:pStyle w:val="ListDash2"/>
        <w:rPr>
          <w:noProof/>
        </w:rPr>
      </w:pPr>
      <w:r>
        <w:rPr>
          <w:noProof/>
        </w:rPr>
        <w:sym w:font="Wingdings" w:char="F0A8"/>
      </w:r>
      <w:r>
        <w:rPr>
          <w:noProof/>
        </w:rPr>
        <w:tab/>
        <w:t>Finančný vplyv trvá od RRRR do RRRR.</w:t>
      </w:r>
    </w:p>
    <w:p w:rsidR="00B90EE1" w:rsidRDefault="003A231F">
      <w:pPr>
        <w:pStyle w:val="Text1"/>
        <w:rPr>
          <w:noProof/>
        </w:rPr>
      </w:pPr>
      <w:r>
        <w:rPr>
          <w:noProof/>
        </w:rPr>
        <w:t>X</w:t>
      </w:r>
      <w:r>
        <w:rPr>
          <w:b/>
          <w:i/>
          <w:noProof/>
        </w:rPr>
        <w:t xml:space="preserve"> </w:t>
      </w:r>
      <w:r>
        <w:rPr>
          <w:noProof/>
        </w:rPr>
        <w:t xml:space="preserve">Návrh/iniciatíva </w:t>
      </w:r>
      <w:r>
        <w:rPr>
          <w:noProof/>
        </w:rPr>
        <w:t>s </w:t>
      </w:r>
      <w:r>
        <w:rPr>
          <w:b/>
          <w:noProof/>
        </w:rPr>
        <w:t>neobmedzeným trvaním</w:t>
      </w:r>
    </w:p>
    <w:p w:rsidR="00B90EE1" w:rsidRDefault="003A231F">
      <w:pPr>
        <w:pStyle w:val="ListDash1"/>
        <w:rPr>
          <w:noProof/>
        </w:rPr>
      </w:pPr>
      <w:r>
        <w:rPr>
          <w:noProof/>
        </w:rPr>
        <w:t>Počiatočná fáza vykonávania bude trvať od RRRR do RRRR,</w:t>
      </w:r>
    </w:p>
    <w:p w:rsidR="00B90EE1" w:rsidRDefault="003A231F">
      <w:pPr>
        <w:pStyle w:val="ListDash1"/>
        <w:rPr>
          <w:noProof/>
        </w:rPr>
      </w:pPr>
      <w:r>
        <w:rPr>
          <w:noProof/>
        </w:rPr>
        <w:t>a potom bude vykonávanie pokračovať v plnom rozsahu.</w:t>
      </w:r>
    </w:p>
    <w:p w:rsidR="00B90EE1" w:rsidRDefault="003A231F">
      <w:pPr>
        <w:pStyle w:val="ManualHeading2"/>
        <w:rPr>
          <w:rStyle w:val="Odkaznapoznmkupodiarou"/>
          <w:noProof/>
        </w:rPr>
      </w:pPr>
      <w:r>
        <w:rPr>
          <w:noProof/>
        </w:rPr>
        <w:t>1.6.</w:t>
      </w:r>
      <w:r>
        <w:rPr>
          <w:noProof/>
        </w:rPr>
        <w:tab/>
        <w:t>Plánovaný spôsob hospodárenia</w:t>
      </w:r>
      <w:r>
        <w:rPr>
          <w:rStyle w:val="Odkaznapoznmkupodiarou"/>
          <w:noProof/>
        </w:rPr>
        <w:footnoteReference w:id="27"/>
      </w:r>
    </w:p>
    <w:p w:rsidR="00B90EE1" w:rsidRDefault="003A231F">
      <w:pPr>
        <w:pStyle w:val="Text1"/>
        <w:rPr>
          <w:noProof/>
        </w:rPr>
      </w:pPr>
      <w:r>
        <w:rPr>
          <w:noProof/>
        </w:rPr>
        <w:sym w:font="Wingdings" w:char="F0A8"/>
      </w:r>
      <w:r>
        <w:rPr>
          <w:i/>
          <w:noProof/>
        </w:rPr>
        <w:t xml:space="preserve"> </w:t>
      </w:r>
      <w:r>
        <w:rPr>
          <w:b/>
          <w:noProof/>
        </w:rPr>
        <w:t>Priame hospodárenie</w:t>
      </w:r>
      <w:r>
        <w:rPr>
          <w:noProof/>
        </w:rPr>
        <w:t xml:space="preserve"> na úrovni Komisie</w:t>
      </w:r>
    </w:p>
    <w:p w:rsidR="00B90EE1" w:rsidRDefault="003A231F">
      <w:pPr>
        <w:pStyle w:val="ListDash2"/>
        <w:rPr>
          <w:noProof/>
        </w:rPr>
      </w:pPr>
      <w:r>
        <w:rPr>
          <w:noProof/>
        </w:rPr>
        <w:sym w:font="Wingdings" w:char="F0A8"/>
      </w:r>
      <w:r>
        <w:rPr>
          <w:noProof/>
        </w:rPr>
        <w:t xml:space="preserve"> prostredníctvom jej útvarov vrátane zamestnanc</w:t>
      </w:r>
      <w:r>
        <w:rPr>
          <w:noProof/>
        </w:rPr>
        <w:t>ov v delegáciách Únie</w:t>
      </w:r>
    </w:p>
    <w:p w:rsidR="00B90EE1" w:rsidRDefault="003A231F">
      <w:pPr>
        <w:pStyle w:val="ListDash2"/>
        <w:rPr>
          <w:noProof/>
        </w:rPr>
      </w:pPr>
      <w:r>
        <w:rPr>
          <w:noProof/>
        </w:rPr>
        <w:sym w:font="Wingdings" w:char="F0A8"/>
      </w:r>
      <w:r>
        <w:rPr>
          <w:noProof/>
        </w:rPr>
        <w:tab/>
        <w:t>prostredníctvom výkonných agentúr</w:t>
      </w:r>
    </w:p>
    <w:p w:rsidR="00B90EE1" w:rsidRDefault="003A231F">
      <w:pPr>
        <w:pStyle w:val="Text1"/>
        <w:rPr>
          <w:noProof/>
        </w:rPr>
      </w:pPr>
      <w:r>
        <w:rPr>
          <w:noProof/>
        </w:rPr>
        <w:sym w:font="Wingdings" w:char="F0A8"/>
      </w:r>
      <w:r>
        <w:rPr>
          <w:i/>
          <w:noProof/>
        </w:rPr>
        <w:t xml:space="preserve"> </w:t>
      </w:r>
      <w:r>
        <w:rPr>
          <w:b/>
          <w:noProof/>
        </w:rPr>
        <w:t>Zdieľané hospodárenie</w:t>
      </w:r>
      <w:r>
        <w:rPr>
          <w:noProof/>
        </w:rPr>
        <w:t xml:space="preserve"> s členskými štátmi</w:t>
      </w:r>
    </w:p>
    <w:p w:rsidR="00B90EE1" w:rsidRDefault="003A231F">
      <w:pPr>
        <w:pStyle w:val="Text1"/>
        <w:rPr>
          <w:noProof/>
        </w:rPr>
      </w:pPr>
      <w:r>
        <w:rPr>
          <w:noProof/>
        </w:rPr>
        <w:sym w:font="Wingdings" w:char="F0A8"/>
      </w:r>
      <w:r>
        <w:rPr>
          <w:i/>
          <w:noProof/>
        </w:rPr>
        <w:t xml:space="preserve"> </w:t>
      </w:r>
      <w:r>
        <w:rPr>
          <w:b/>
          <w:noProof/>
        </w:rPr>
        <w:t>Nepriame hospodárenie</w:t>
      </w:r>
      <w:r>
        <w:rPr>
          <w:noProof/>
        </w:rPr>
        <w:t xml:space="preserve"> s delegovaním úloh súvisiacich s plnením rozpočtu na:</w:t>
      </w:r>
    </w:p>
    <w:p w:rsidR="00B90EE1" w:rsidRDefault="003A231F">
      <w:pPr>
        <w:pStyle w:val="ListDash2"/>
        <w:rPr>
          <w:noProof/>
        </w:rPr>
      </w:pPr>
      <w:r>
        <w:rPr>
          <w:noProof/>
        </w:rPr>
        <w:sym w:font="Wingdings" w:char="F0A8"/>
      </w:r>
      <w:r>
        <w:rPr>
          <w:noProof/>
        </w:rPr>
        <w:t xml:space="preserve"> tretie krajiny alebo subjekty, ktoré tieto krajiny určili,</w:t>
      </w:r>
    </w:p>
    <w:p w:rsidR="00B90EE1" w:rsidRDefault="003A231F">
      <w:pPr>
        <w:pStyle w:val="ListDash2"/>
        <w:rPr>
          <w:noProof/>
        </w:rPr>
      </w:pPr>
      <w:r>
        <w:rPr>
          <w:noProof/>
        </w:rPr>
        <w:sym w:font="Wingdings" w:char="F0A8"/>
      </w:r>
      <w:r>
        <w:rPr>
          <w:noProof/>
        </w:rPr>
        <w:t xml:space="preserve"> medzinárodné o</w:t>
      </w:r>
      <w:r>
        <w:rPr>
          <w:noProof/>
        </w:rPr>
        <w:t>rganizácie a ich agentúry (uveďte),</w:t>
      </w:r>
    </w:p>
    <w:p w:rsidR="00B90EE1" w:rsidRDefault="003A231F">
      <w:pPr>
        <w:pStyle w:val="ListDash2"/>
        <w:rPr>
          <w:noProof/>
        </w:rPr>
      </w:pPr>
      <w:r>
        <w:rPr>
          <w:noProof/>
        </w:rPr>
        <w:sym w:font="Wingdings" w:char="F0A8"/>
      </w:r>
      <w:r>
        <w:rPr>
          <w:noProof/>
        </w:rPr>
        <w:t xml:space="preserve"> Európsku investičnú banku (EIB) a Európsky investičný fond,</w:t>
      </w:r>
    </w:p>
    <w:p w:rsidR="00B90EE1" w:rsidRDefault="003A231F">
      <w:pPr>
        <w:pStyle w:val="ListDash2"/>
        <w:rPr>
          <w:noProof/>
        </w:rPr>
      </w:pPr>
      <w:r>
        <w:rPr>
          <w:noProof/>
        </w:rPr>
        <w:sym w:font="Wingdings" w:char="F0A8"/>
      </w:r>
      <w:r>
        <w:rPr>
          <w:noProof/>
        </w:rPr>
        <w:t xml:space="preserve"> subjekty podľa článkov 208 a 209 nariadenia o rozpočtových pravidlách,</w:t>
      </w:r>
    </w:p>
    <w:p w:rsidR="00B90EE1" w:rsidRDefault="003A231F">
      <w:pPr>
        <w:pStyle w:val="ListDash2"/>
        <w:rPr>
          <w:noProof/>
        </w:rPr>
      </w:pPr>
      <w:r>
        <w:rPr>
          <w:noProof/>
        </w:rPr>
        <w:sym w:font="Wingdings" w:char="F0A8"/>
      </w:r>
      <w:r>
        <w:rPr>
          <w:noProof/>
        </w:rPr>
        <w:t xml:space="preserve"> verejnoprávne subjekty,</w:t>
      </w:r>
    </w:p>
    <w:p w:rsidR="00B90EE1" w:rsidRDefault="003A231F">
      <w:pPr>
        <w:pStyle w:val="ListDash2"/>
        <w:rPr>
          <w:noProof/>
        </w:rPr>
      </w:pPr>
      <w:r>
        <w:rPr>
          <w:noProof/>
        </w:rPr>
        <w:sym w:font="Wingdings" w:char="F0A8"/>
      </w:r>
      <w:r>
        <w:rPr>
          <w:noProof/>
        </w:rPr>
        <w:t xml:space="preserve"> súkromnoprávne subjekty poverené vykonávaním verejnej slu</w:t>
      </w:r>
      <w:r>
        <w:rPr>
          <w:noProof/>
        </w:rPr>
        <w:t>žby, pokiaľ tieto subjekty poskytujú dostatočné finančné záruky,</w:t>
      </w:r>
    </w:p>
    <w:p w:rsidR="00B90EE1" w:rsidRDefault="003A231F">
      <w:pPr>
        <w:pStyle w:val="ListDash2"/>
        <w:rPr>
          <w:noProof/>
        </w:rPr>
      </w:pPr>
      <w:r>
        <w:rPr>
          <w:noProof/>
        </w:rPr>
        <w:sym w:font="Wingdings" w:char="F0A8"/>
      </w:r>
      <w:r>
        <w:rPr>
          <w:noProof/>
        </w:rPr>
        <w:t xml:space="preserve"> súkromnoprávne subjekty spravované právom členského štátu, ktoré sú poverené vykonávaním verejno-súkromného partnerstva a ktoré poskytujú dostatočné finančné záruky,</w:t>
      </w:r>
    </w:p>
    <w:p w:rsidR="00B90EE1" w:rsidRDefault="003A231F">
      <w:pPr>
        <w:pStyle w:val="ListDash2"/>
        <w:rPr>
          <w:noProof/>
        </w:rPr>
      </w:pPr>
      <w:r>
        <w:rPr>
          <w:noProof/>
        </w:rPr>
        <w:sym w:font="Wingdings" w:char="F0A8"/>
      </w:r>
      <w:r>
        <w:rPr>
          <w:noProof/>
        </w:rPr>
        <w:t xml:space="preserve"> osoby poverené vykoná</w:t>
      </w:r>
      <w:r>
        <w:rPr>
          <w:noProof/>
        </w:rPr>
        <w:t>vaním osobitných činností v oblasti SZBP podľa hlavy V Zmluvy o Európskej únii a určené v príslušnom základnom akte.</w:t>
      </w:r>
    </w:p>
    <w:p w:rsidR="00B90EE1" w:rsidRDefault="003A231F">
      <w:pPr>
        <w:pStyle w:val="ListDash2"/>
        <w:rPr>
          <w:i/>
          <w:noProof/>
          <w:sz w:val="18"/>
          <w:u w:val="single"/>
        </w:rPr>
      </w:pPr>
      <w:r>
        <w:rPr>
          <w:i/>
          <w:noProof/>
          <w:sz w:val="18"/>
        </w:rPr>
        <w:t>V prípade viacerých spôsobov hospodárenia uveďte v oddiele „Poznámky“ presnejšie vysvetlenie.</w:t>
      </w:r>
    </w:p>
    <w:p w:rsidR="00B90EE1" w:rsidRDefault="003A231F">
      <w:pPr>
        <w:rPr>
          <w:noProof/>
        </w:rPr>
      </w:pPr>
      <w:r>
        <w:rPr>
          <w:noProof/>
        </w:rPr>
        <w:t>Poznámky:</w:t>
      </w:r>
    </w:p>
    <w:p w:rsidR="00B90EE1" w:rsidRDefault="003A231F">
      <w:pPr>
        <w:pBdr>
          <w:top w:val="single" w:sz="4" w:space="1" w:color="auto"/>
          <w:left w:val="single" w:sz="4" w:space="4" w:color="auto"/>
          <w:bottom w:val="single" w:sz="4" w:space="1" w:color="auto"/>
          <w:right w:val="single" w:sz="4" w:space="4" w:color="auto"/>
        </w:pBdr>
        <w:rPr>
          <w:noProof/>
        </w:rPr>
      </w:pPr>
      <w:r>
        <w:rPr>
          <w:noProof/>
        </w:rPr>
        <w:t>Neuplatňuje sa.</w:t>
      </w:r>
    </w:p>
    <w:p w:rsidR="00B90EE1" w:rsidRDefault="00B90EE1">
      <w:pPr>
        <w:pBdr>
          <w:top w:val="single" w:sz="4" w:space="1" w:color="auto"/>
          <w:left w:val="single" w:sz="4" w:space="4" w:color="auto"/>
          <w:bottom w:val="single" w:sz="4" w:space="1" w:color="auto"/>
          <w:right w:val="single" w:sz="4" w:space="4" w:color="auto"/>
        </w:pBdr>
        <w:rPr>
          <w:noProof/>
        </w:rPr>
        <w:sectPr w:rsidR="00B90EE1">
          <w:pgSz w:w="11907" w:h="16840" w:code="9"/>
          <w:pgMar w:top="1134" w:right="1418" w:bottom="1134" w:left="1418" w:header="709" w:footer="709" w:gutter="0"/>
          <w:cols w:space="708"/>
          <w:docGrid w:linePitch="360"/>
        </w:sectPr>
      </w:pPr>
    </w:p>
    <w:p w:rsidR="00B90EE1" w:rsidRDefault="003A231F">
      <w:pPr>
        <w:pStyle w:val="ManualHeading1"/>
        <w:rPr>
          <w:noProof/>
        </w:rPr>
      </w:pPr>
      <w:r>
        <w:rPr>
          <w:noProof/>
        </w:rPr>
        <w:lastRenderedPageBreak/>
        <w:t>2.</w:t>
      </w:r>
      <w:r>
        <w:rPr>
          <w:noProof/>
        </w:rPr>
        <w:tab/>
        <w:t>OPATRENIA V OBLASTI RIADENIA</w:t>
      </w:r>
    </w:p>
    <w:p w:rsidR="00B90EE1" w:rsidRDefault="003A231F">
      <w:pPr>
        <w:pStyle w:val="ManualHeading2"/>
        <w:rPr>
          <w:noProof/>
        </w:rPr>
      </w:pPr>
      <w:r>
        <w:rPr>
          <w:noProof/>
        </w:rPr>
        <w:t>2.1.</w:t>
      </w:r>
      <w:r>
        <w:rPr>
          <w:noProof/>
        </w:rPr>
        <w:tab/>
        <w:t>Opatrenia týkajúce sa monitorovania a predkladania správ</w:t>
      </w:r>
    </w:p>
    <w:p w:rsidR="00B90EE1" w:rsidRDefault="003A231F">
      <w:pPr>
        <w:pStyle w:val="Text1"/>
        <w:rPr>
          <w:i/>
          <w:noProof/>
          <w:sz w:val="20"/>
          <w:u w:val="single"/>
        </w:rPr>
      </w:pPr>
      <w:r>
        <w:rPr>
          <w:i/>
          <w:noProof/>
          <w:sz w:val="20"/>
        </w:rPr>
        <w:t>Uveďte časový interval a podmienky, ktoré sa vzťahujú na tieto opatrenia.</w:t>
      </w:r>
    </w:p>
    <w:p w:rsidR="00B90EE1" w:rsidRDefault="003A231F">
      <w:pPr>
        <w:pStyle w:val="ManualHeading2"/>
        <w:rPr>
          <w:noProof/>
        </w:rPr>
      </w:pPr>
      <w:r>
        <w:rPr>
          <w:noProof/>
        </w:rPr>
        <w:t>2.2.</w:t>
      </w:r>
      <w:r>
        <w:rPr>
          <w:noProof/>
        </w:rPr>
        <w:tab/>
        <w:t>Systémy riadenia a kontroly</w:t>
      </w:r>
    </w:p>
    <w:p w:rsidR="00B90EE1" w:rsidRDefault="003A231F">
      <w:pPr>
        <w:pStyle w:val="ManualHeading3"/>
        <w:rPr>
          <w:noProof/>
        </w:rPr>
      </w:pPr>
      <w:r>
        <w:rPr>
          <w:noProof/>
        </w:rPr>
        <w:t>2.2.1.</w:t>
      </w:r>
      <w:r>
        <w:rPr>
          <w:noProof/>
        </w:rPr>
        <w:tab/>
        <w:t>Zistené riziká.</w:t>
      </w:r>
    </w:p>
    <w:p w:rsidR="00B90EE1" w:rsidRDefault="003A231F">
      <w:pPr>
        <w:pStyle w:val="Text1"/>
        <w:pBdr>
          <w:top w:val="single" w:sz="4" w:space="1" w:color="auto"/>
          <w:left w:val="single" w:sz="4" w:space="4" w:color="auto"/>
          <w:bottom w:val="single" w:sz="4" w:space="1" w:color="auto"/>
          <w:right w:val="single" w:sz="4" w:space="4" w:color="auto"/>
        </w:pBdr>
        <w:rPr>
          <w:noProof/>
        </w:rPr>
      </w:pPr>
      <w:r>
        <w:rPr>
          <w:noProof/>
        </w:rPr>
        <w:t>Neuplatňu</w:t>
      </w:r>
      <w:r>
        <w:rPr>
          <w:noProof/>
        </w:rPr>
        <w:t>je sa.</w:t>
      </w:r>
    </w:p>
    <w:p w:rsidR="00B90EE1" w:rsidRDefault="003A231F">
      <w:pPr>
        <w:pStyle w:val="ManualHeading3"/>
        <w:rPr>
          <w:bCs/>
          <w:noProof/>
          <w:szCs w:val="24"/>
        </w:rPr>
      </w:pPr>
      <w:r>
        <w:rPr>
          <w:noProof/>
        </w:rPr>
        <w:t>2.2.2.</w:t>
      </w:r>
      <w:r>
        <w:rPr>
          <w:noProof/>
        </w:rPr>
        <w:tab/>
        <w:t>Údaje o zavedenom systéme vnútornej kontroly.</w:t>
      </w:r>
    </w:p>
    <w:p w:rsidR="00B90EE1" w:rsidRDefault="003A231F">
      <w:pPr>
        <w:pStyle w:val="Text1"/>
        <w:pBdr>
          <w:top w:val="single" w:sz="4" w:space="1" w:color="auto"/>
          <w:left w:val="single" w:sz="4" w:space="4" w:color="auto"/>
          <w:bottom w:val="single" w:sz="4" w:space="1" w:color="auto"/>
          <w:right w:val="single" w:sz="4" w:space="4" w:color="auto"/>
        </w:pBdr>
        <w:rPr>
          <w:noProof/>
        </w:rPr>
      </w:pPr>
      <w:r>
        <w:rPr>
          <w:noProof/>
        </w:rPr>
        <w:t>Neuplatňuje sa.</w:t>
      </w:r>
    </w:p>
    <w:p w:rsidR="00B90EE1" w:rsidRDefault="003A231F">
      <w:pPr>
        <w:pStyle w:val="ManualHeading3"/>
        <w:rPr>
          <w:noProof/>
        </w:rPr>
      </w:pPr>
      <w:r>
        <w:rPr>
          <w:noProof/>
        </w:rPr>
        <w:t>2.2.3.</w:t>
      </w:r>
      <w:r>
        <w:rPr>
          <w:noProof/>
        </w:rPr>
        <w:tab/>
        <w:t>Odhad nákladov a prínosov kontrol a posúdenie očakávanej úrovne rizika chyby.</w:t>
      </w:r>
    </w:p>
    <w:p w:rsidR="00B90EE1" w:rsidRDefault="003A231F">
      <w:pPr>
        <w:pStyle w:val="Text1"/>
        <w:pBdr>
          <w:top w:val="single" w:sz="4" w:space="1" w:color="auto"/>
          <w:left w:val="single" w:sz="4" w:space="4" w:color="auto"/>
          <w:bottom w:val="single" w:sz="4" w:space="1" w:color="auto"/>
          <w:right w:val="single" w:sz="4" w:space="4" w:color="auto"/>
        </w:pBdr>
        <w:rPr>
          <w:noProof/>
        </w:rPr>
      </w:pPr>
      <w:r>
        <w:rPr>
          <w:noProof/>
        </w:rPr>
        <w:t>Neuplatňuje sa.</w:t>
      </w:r>
    </w:p>
    <w:p w:rsidR="00B90EE1" w:rsidRDefault="003A231F">
      <w:pPr>
        <w:pStyle w:val="ManualHeading2"/>
        <w:rPr>
          <w:noProof/>
        </w:rPr>
      </w:pPr>
      <w:r>
        <w:rPr>
          <w:noProof/>
        </w:rPr>
        <w:t>2.3.</w:t>
      </w:r>
      <w:r>
        <w:rPr>
          <w:noProof/>
        </w:rPr>
        <w:tab/>
        <w:t>Opatrenia na predchádzanie podvodom a nezrovnalostiam</w:t>
      </w:r>
    </w:p>
    <w:p w:rsidR="00B90EE1" w:rsidRDefault="003A231F">
      <w:pPr>
        <w:pStyle w:val="Text1"/>
        <w:rPr>
          <w:i/>
          <w:noProof/>
          <w:sz w:val="20"/>
        </w:rPr>
      </w:pPr>
      <w:r>
        <w:rPr>
          <w:i/>
          <w:noProof/>
          <w:sz w:val="20"/>
        </w:rPr>
        <w:t>Uveďte existujúce a </w:t>
      </w:r>
      <w:r>
        <w:rPr>
          <w:i/>
          <w:noProof/>
          <w:sz w:val="20"/>
        </w:rPr>
        <w:t>plánované preventívne a ochranné opatrenia.</w:t>
      </w:r>
    </w:p>
    <w:p w:rsidR="00B90EE1" w:rsidRDefault="00B90EE1">
      <w:pPr>
        <w:rPr>
          <w:noProof/>
        </w:rPr>
        <w:sectPr w:rsidR="00B90EE1">
          <w:pgSz w:w="11907" w:h="16840" w:code="9"/>
          <w:pgMar w:top="1134" w:right="1418" w:bottom="1134" w:left="1418" w:header="709" w:footer="709" w:gutter="0"/>
          <w:cols w:space="708"/>
          <w:docGrid w:linePitch="360"/>
        </w:sectPr>
      </w:pPr>
    </w:p>
    <w:p w:rsidR="00B90EE1" w:rsidRDefault="003A231F">
      <w:pPr>
        <w:pStyle w:val="ManualHeading1"/>
        <w:rPr>
          <w:noProof/>
        </w:rPr>
      </w:pPr>
      <w:r>
        <w:rPr>
          <w:noProof/>
        </w:rPr>
        <w:lastRenderedPageBreak/>
        <w:t>3.</w:t>
      </w:r>
      <w:r>
        <w:rPr>
          <w:noProof/>
        </w:rPr>
        <w:tab/>
        <w:t>ODHADOVANÝ FINANČNÝ VPLYV NÁVRHU/INICIATÍVY</w:t>
      </w:r>
    </w:p>
    <w:p w:rsidR="00B90EE1" w:rsidRDefault="003A231F">
      <w:pPr>
        <w:pStyle w:val="ManualHeading2"/>
        <w:rPr>
          <w:noProof/>
        </w:rPr>
      </w:pPr>
      <w:r>
        <w:rPr>
          <w:noProof/>
        </w:rPr>
        <w:t>3.1.</w:t>
      </w:r>
      <w:r>
        <w:rPr>
          <w:noProof/>
        </w:rPr>
        <w:tab/>
        <w:t>Príslušné okruhy viacročného finančného rámca a rozpočtové riadky výdavkov</w:t>
      </w:r>
    </w:p>
    <w:p w:rsidR="00B90EE1" w:rsidRDefault="003A231F">
      <w:pPr>
        <w:pStyle w:val="ListBullet1"/>
        <w:rPr>
          <w:noProof/>
        </w:rPr>
      </w:pPr>
      <w:r>
        <w:rPr>
          <w:noProof/>
        </w:rPr>
        <w:t>Existujúce rozpočtové riadky</w:t>
      </w:r>
    </w:p>
    <w:p w:rsidR="00B90EE1" w:rsidRDefault="003A231F">
      <w:pPr>
        <w:pStyle w:val="Text1"/>
        <w:rPr>
          <w:noProof/>
        </w:rPr>
      </w:pPr>
      <w:r>
        <w:rPr>
          <w:noProof/>
          <w:u w:val="single"/>
        </w:rPr>
        <w:t>V poradí</w:t>
      </w:r>
      <w:r>
        <w:rPr>
          <w:noProof/>
        </w:rPr>
        <w:t xml:space="preserve">, v akom za sebou </w:t>
      </w:r>
      <w:r>
        <w:rPr>
          <w:noProof/>
        </w:rPr>
        <w:t>nasledujú okruhy viacročného finančného rámca a rozpočtové riadky.</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B90EE1">
        <w:tc>
          <w:tcPr>
            <w:tcW w:w="1080" w:type="dxa"/>
            <w:vMerge w:val="restart"/>
            <w:vAlign w:val="center"/>
          </w:tcPr>
          <w:p w:rsidR="00B90EE1" w:rsidRDefault="003A231F">
            <w:pPr>
              <w:spacing w:before="60" w:after="60"/>
              <w:jc w:val="center"/>
              <w:rPr>
                <w:noProof/>
              </w:rPr>
            </w:pPr>
            <w:r>
              <w:rPr>
                <w:noProof/>
                <w:sz w:val="18"/>
              </w:rPr>
              <w:t>Okruh viacročného finančného rámca:</w:t>
            </w:r>
          </w:p>
        </w:tc>
        <w:tc>
          <w:tcPr>
            <w:tcW w:w="3960" w:type="dxa"/>
            <w:vAlign w:val="center"/>
          </w:tcPr>
          <w:p w:rsidR="00B90EE1" w:rsidRDefault="003A231F">
            <w:pPr>
              <w:spacing w:before="60" w:after="60"/>
              <w:jc w:val="center"/>
              <w:rPr>
                <w:noProof/>
              </w:rPr>
            </w:pPr>
            <w:r>
              <w:rPr>
                <w:noProof/>
                <w:sz w:val="20"/>
              </w:rPr>
              <w:t>Rozpočtový riadok</w:t>
            </w:r>
          </w:p>
        </w:tc>
        <w:tc>
          <w:tcPr>
            <w:tcW w:w="1080" w:type="dxa"/>
            <w:vAlign w:val="center"/>
          </w:tcPr>
          <w:p w:rsidR="00B90EE1" w:rsidRDefault="003A231F">
            <w:pPr>
              <w:spacing w:before="60" w:after="60"/>
              <w:jc w:val="center"/>
              <w:rPr>
                <w:noProof/>
              </w:rPr>
            </w:pPr>
            <w:r>
              <w:rPr>
                <w:noProof/>
                <w:sz w:val="18"/>
              </w:rPr>
              <w:t xml:space="preserve">Druh </w:t>
            </w:r>
            <w:r>
              <w:rPr>
                <w:noProof/>
                <w:sz w:val="22"/>
              </w:rPr>
              <w:br/>
            </w:r>
            <w:r>
              <w:rPr>
                <w:noProof/>
                <w:sz w:val="18"/>
              </w:rPr>
              <w:t>výdavkov</w:t>
            </w:r>
          </w:p>
        </w:tc>
        <w:tc>
          <w:tcPr>
            <w:tcW w:w="4440" w:type="dxa"/>
            <w:gridSpan w:val="4"/>
            <w:vAlign w:val="center"/>
          </w:tcPr>
          <w:p w:rsidR="00B90EE1" w:rsidRDefault="003A231F">
            <w:pPr>
              <w:spacing w:before="60" w:after="60"/>
              <w:jc w:val="center"/>
              <w:rPr>
                <w:noProof/>
              </w:rPr>
            </w:pPr>
            <w:r>
              <w:rPr>
                <w:noProof/>
                <w:sz w:val="20"/>
              </w:rPr>
              <w:t xml:space="preserve">Príspevky </w:t>
            </w:r>
          </w:p>
        </w:tc>
      </w:tr>
      <w:tr w:rsidR="00B90EE1">
        <w:tc>
          <w:tcPr>
            <w:tcW w:w="1080" w:type="dxa"/>
            <w:vMerge/>
            <w:vAlign w:val="center"/>
          </w:tcPr>
          <w:p w:rsidR="00B90EE1" w:rsidRDefault="00B90EE1">
            <w:pPr>
              <w:jc w:val="center"/>
              <w:rPr>
                <w:noProof/>
              </w:rPr>
            </w:pPr>
          </w:p>
        </w:tc>
        <w:tc>
          <w:tcPr>
            <w:tcW w:w="3960" w:type="dxa"/>
            <w:vAlign w:val="center"/>
          </w:tcPr>
          <w:p w:rsidR="00B90EE1" w:rsidRDefault="003A231F">
            <w:pPr>
              <w:rPr>
                <w:noProof/>
              </w:rPr>
            </w:pPr>
            <w:r>
              <w:rPr>
                <w:noProof/>
                <w:sz w:val="20"/>
              </w:rPr>
              <w:t xml:space="preserve">Číslo </w:t>
            </w:r>
            <w:r>
              <w:rPr>
                <w:noProof/>
                <w:sz w:val="22"/>
              </w:rPr>
              <w:br/>
            </w:r>
            <w:r>
              <w:rPr>
                <w:noProof/>
                <w:sz w:val="20"/>
              </w:rPr>
              <w:t>[Názov………………………...……………]</w:t>
            </w:r>
          </w:p>
        </w:tc>
        <w:tc>
          <w:tcPr>
            <w:tcW w:w="1080" w:type="dxa"/>
            <w:vAlign w:val="center"/>
          </w:tcPr>
          <w:p w:rsidR="00B90EE1" w:rsidRDefault="003A231F">
            <w:pPr>
              <w:jc w:val="center"/>
              <w:rPr>
                <w:noProof/>
              </w:rPr>
            </w:pPr>
            <w:r>
              <w:rPr>
                <w:noProof/>
                <w:sz w:val="18"/>
              </w:rPr>
              <w:t>DRP/NRP</w:t>
            </w:r>
            <w:r>
              <w:rPr>
                <w:rStyle w:val="Odkaznapoznmkupodiarou"/>
                <w:noProof/>
                <w:sz w:val="18"/>
              </w:rPr>
              <w:footnoteReference w:id="28"/>
            </w:r>
            <w:r>
              <w:rPr>
                <w:noProof/>
              </w:rPr>
              <w:t>.</w:t>
            </w:r>
          </w:p>
        </w:tc>
        <w:tc>
          <w:tcPr>
            <w:tcW w:w="956" w:type="dxa"/>
            <w:vAlign w:val="center"/>
          </w:tcPr>
          <w:p w:rsidR="00B90EE1" w:rsidRDefault="003A231F">
            <w:pPr>
              <w:jc w:val="center"/>
              <w:rPr>
                <w:noProof/>
              </w:rPr>
            </w:pPr>
            <w:r>
              <w:rPr>
                <w:noProof/>
                <w:sz w:val="18"/>
              </w:rPr>
              <w:t>krajín EZVO</w:t>
            </w:r>
            <w:r>
              <w:rPr>
                <w:rStyle w:val="Odkaznapoznmkupodiarou"/>
                <w:noProof/>
                <w:sz w:val="18"/>
              </w:rPr>
              <w:footnoteReference w:id="29"/>
            </w:r>
          </w:p>
          <w:p w:rsidR="00B90EE1" w:rsidRDefault="00B90EE1">
            <w:pPr>
              <w:spacing w:before="0" w:after="0"/>
              <w:jc w:val="center"/>
              <w:rPr>
                <w:b/>
                <w:noProof/>
                <w:sz w:val="18"/>
              </w:rPr>
            </w:pPr>
          </w:p>
        </w:tc>
        <w:tc>
          <w:tcPr>
            <w:tcW w:w="1080" w:type="dxa"/>
            <w:vAlign w:val="center"/>
          </w:tcPr>
          <w:p w:rsidR="00B90EE1" w:rsidRDefault="003A231F">
            <w:pPr>
              <w:jc w:val="center"/>
              <w:rPr>
                <w:noProof/>
              </w:rPr>
            </w:pPr>
            <w:r>
              <w:rPr>
                <w:noProof/>
                <w:sz w:val="18"/>
              </w:rPr>
              <w:t>kandidátskych krajín</w:t>
            </w:r>
            <w:r>
              <w:rPr>
                <w:rStyle w:val="Odkaznapoznmkupodiarou"/>
                <w:noProof/>
                <w:sz w:val="18"/>
              </w:rPr>
              <w:footnoteReference w:id="30"/>
            </w:r>
          </w:p>
          <w:p w:rsidR="00B90EE1" w:rsidRDefault="00B90EE1">
            <w:pPr>
              <w:spacing w:before="0" w:after="0"/>
              <w:jc w:val="center"/>
              <w:rPr>
                <w:noProof/>
                <w:sz w:val="18"/>
              </w:rPr>
            </w:pPr>
          </w:p>
        </w:tc>
        <w:tc>
          <w:tcPr>
            <w:tcW w:w="956" w:type="dxa"/>
            <w:vAlign w:val="center"/>
          </w:tcPr>
          <w:p w:rsidR="00B90EE1" w:rsidRDefault="003A231F">
            <w:pPr>
              <w:jc w:val="center"/>
              <w:rPr>
                <w:noProof/>
                <w:sz w:val="18"/>
              </w:rPr>
            </w:pPr>
            <w:r>
              <w:rPr>
                <w:noProof/>
                <w:sz w:val="18"/>
              </w:rPr>
              <w:t>tretích krajín</w:t>
            </w:r>
          </w:p>
        </w:tc>
        <w:tc>
          <w:tcPr>
            <w:tcW w:w="1448" w:type="dxa"/>
            <w:vAlign w:val="center"/>
          </w:tcPr>
          <w:p w:rsidR="00B90EE1" w:rsidRDefault="003A231F">
            <w:pPr>
              <w:jc w:val="center"/>
              <w:rPr>
                <w:noProof/>
                <w:highlight w:val="yellow"/>
              </w:rPr>
            </w:pPr>
            <w:r>
              <w:rPr>
                <w:noProof/>
                <w:sz w:val="16"/>
              </w:rPr>
              <w:t xml:space="preserve">v zmysle článku 21 ods. 2 písm. b) nariadenia o rozpočtových pravidlách </w:t>
            </w:r>
          </w:p>
        </w:tc>
      </w:tr>
      <w:tr w:rsidR="00B90EE1">
        <w:tc>
          <w:tcPr>
            <w:tcW w:w="1080" w:type="dxa"/>
            <w:vAlign w:val="center"/>
          </w:tcPr>
          <w:p w:rsidR="00B90EE1" w:rsidRDefault="00B90EE1">
            <w:pPr>
              <w:jc w:val="center"/>
              <w:rPr>
                <w:noProof/>
                <w:color w:val="0000FF"/>
              </w:rPr>
            </w:pPr>
          </w:p>
        </w:tc>
        <w:tc>
          <w:tcPr>
            <w:tcW w:w="3960" w:type="dxa"/>
            <w:vAlign w:val="center"/>
          </w:tcPr>
          <w:p w:rsidR="00B90EE1" w:rsidRDefault="003A231F">
            <w:pPr>
              <w:spacing w:before="60"/>
              <w:rPr>
                <w:noProof/>
              </w:rPr>
            </w:pPr>
            <w:r>
              <w:rPr>
                <w:noProof/>
                <w:sz w:val="22"/>
              </w:rPr>
              <w:t>[XX.YY.YY.YY]</w:t>
            </w:r>
          </w:p>
          <w:p w:rsidR="00B90EE1" w:rsidRDefault="00B90EE1">
            <w:pPr>
              <w:spacing w:after="60"/>
              <w:rPr>
                <w:noProof/>
              </w:rPr>
            </w:pPr>
          </w:p>
        </w:tc>
        <w:tc>
          <w:tcPr>
            <w:tcW w:w="1080" w:type="dxa"/>
            <w:vAlign w:val="center"/>
          </w:tcPr>
          <w:p w:rsidR="00B90EE1" w:rsidRDefault="003A231F">
            <w:pPr>
              <w:jc w:val="center"/>
              <w:rPr>
                <w:noProof/>
                <w:color w:val="0000FF"/>
              </w:rPr>
            </w:pPr>
            <w:r>
              <w:rPr>
                <w:noProof/>
                <w:sz w:val="22"/>
              </w:rPr>
              <w:t>DRP/NRP</w:t>
            </w:r>
          </w:p>
        </w:tc>
        <w:tc>
          <w:tcPr>
            <w:tcW w:w="956" w:type="dxa"/>
            <w:vAlign w:val="center"/>
          </w:tcPr>
          <w:p w:rsidR="00B90EE1" w:rsidRDefault="003A231F">
            <w:pPr>
              <w:jc w:val="center"/>
              <w:rPr>
                <w:noProof/>
              </w:rPr>
            </w:pPr>
            <w:r>
              <w:rPr>
                <w:noProof/>
                <w:sz w:val="22"/>
              </w:rPr>
              <w:t>ÁNO/NIE</w:t>
            </w:r>
          </w:p>
        </w:tc>
        <w:tc>
          <w:tcPr>
            <w:tcW w:w="1080" w:type="dxa"/>
            <w:vAlign w:val="center"/>
          </w:tcPr>
          <w:p w:rsidR="00B90EE1" w:rsidRDefault="003A231F">
            <w:pPr>
              <w:jc w:val="center"/>
              <w:rPr>
                <w:noProof/>
              </w:rPr>
            </w:pPr>
            <w:r>
              <w:rPr>
                <w:noProof/>
                <w:sz w:val="22"/>
              </w:rPr>
              <w:t>ÁNO/NIE</w:t>
            </w:r>
          </w:p>
        </w:tc>
        <w:tc>
          <w:tcPr>
            <w:tcW w:w="956" w:type="dxa"/>
            <w:vAlign w:val="center"/>
          </w:tcPr>
          <w:p w:rsidR="00B90EE1" w:rsidRDefault="003A231F">
            <w:pPr>
              <w:jc w:val="center"/>
              <w:rPr>
                <w:noProof/>
              </w:rPr>
            </w:pPr>
            <w:r>
              <w:rPr>
                <w:noProof/>
                <w:sz w:val="22"/>
              </w:rPr>
              <w:t>ÁNO/NIE</w:t>
            </w:r>
          </w:p>
        </w:tc>
        <w:tc>
          <w:tcPr>
            <w:tcW w:w="1448" w:type="dxa"/>
            <w:vAlign w:val="center"/>
          </w:tcPr>
          <w:p w:rsidR="00B90EE1" w:rsidRDefault="003A231F">
            <w:pPr>
              <w:jc w:val="center"/>
              <w:rPr>
                <w:noProof/>
              </w:rPr>
            </w:pPr>
            <w:r>
              <w:rPr>
                <w:noProof/>
                <w:sz w:val="22"/>
              </w:rPr>
              <w:t>ÁNO/NIE</w:t>
            </w:r>
          </w:p>
        </w:tc>
      </w:tr>
    </w:tbl>
    <w:p w:rsidR="00B90EE1" w:rsidRDefault="003A231F">
      <w:pPr>
        <w:pStyle w:val="ListBullet1"/>
        <w:rPr>
          <w:noProof/>
        </w:rPr>
      </w:pPr>
      <w:r>
        <w:rPr>
          <w:noProof/>
        </w:rPr>
        <w:t>Požadované nové rozpočtové riadky</w:t>
      </w:r>
    </w:p>
    <w:p w:rsidR="00B90EE1" w:rsidRDefault="003A231F">
      <w:pPr>
        <w:pStyle w:val="Text1"/>
        <w:rPr>
          <w:i/>
          <w:noProof/>
          <w:sz w:val="20"/>
        </w:rPr>
      </w:pPr>
      <w:r>
        <w:rPr>
          <w:i/>
          <w:noProof/>
          <w:u w:val="single"/>
        </w:rPr>
        <w:t>V poradí</w:t>
      </w:r>
      <w:r>
        <w:rPr>
          <w:i/>
          <w:noProof/>
        </w:rPr>
        <w:t>, v akom za sebou nasledujú okruhy viacročného finančného rámca a rozpočtové riadky</w:t>
      </w:r>
      <w:r>
        <w:rPr>
          <w:noProof/>
        </w:rPr>
        <w:t>.</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B90EE1">
        <w:tc>
          <w:tcPr>
            <w:tcW w:w="1080" w:type="dxa"/>
            <w:vMerge w:val="restart"/>
            <w:vAlign w:val="center"/>
          </w:tcPr>
          <w:p w:rsidR="00B90EE1" w:rsidRDefault="003A231F">
            <w:pPr>
              <w:spacing w:before="60" w:after="60"/>
              <w:jc w:val="center"/>
              <w:rPr>
                <w:noProof/>
                <w:sz w:val="18"/>
                <w:szCs w:val="18"/>
              </w:rPr>
            </w:pPr>
            <w:r>
              <w:rPr>
                <w:noProof/>
                <w:sz w:val="18"/>
              </w:rPr>
              <w:t>Okruh viacročného finančného rámca:</w:t>
            </w:r>
          </w:p>
        </w:tc>
        <w:tc>
          <w:tcPr>
            <w:tcW w:w="3960" w:type="dxa"/>
            <w:vAlign w:val="center"/>
          </w:tcPr>
          <w:p w:rsidR="00B90EE1" w:rsidRDefault="003A231F">
            <w:pPr>
              <w:spacing w:before="60" w:after="60"/>
              <w:jc w:val="center"/>
              <w:rPr>
                <w:noProof/>
              </w:rPr>
            </w:pPr>
            <w:r>
              <w:rPr>
                <w:noProof/>
                <w:sz w:val="20"/>
              </w:rPr>
              <w:t>Rozpočtový riadok</w:t>
            </w:r>
          </w:p>
        </w:tc>
        <w:tc>
          <w:tcPr>
            <w:tcW w:w="1080" w:type="dxa"/>
            <w:vAlign w:val="center"/>
          </w:tcPr>
          <w:p w:rsidR="00B90EE1" w:rsidRDefault="003A231F">
            <w:pPr>
              <w:spacing w:before="60" w:after="60"/>
              <w:jc w:val="center"/>
              <w:rPr>
                <w:noProof/>
              </w:rPr>
            </w:pPr>
            <w:r>
              <w:rPr>
                <w:noProof/>
                <w:sz w:val="18"/>
              </w:rPr>
              <w:t>Druh</w:t>
            </w:r>
            <w:r>
              <w:rPr>
                <w:noProof/>
                <w:sz w:val="22"/>
              </w:rPr>
              <w:br/>
            </w:r>
            <w:r>
              <w:rPr>
                <w:noProof/>
                <w:sz w:val="18"/>
              </w:rPr>
              <w:t>výdavkov</w:t>
            </w:r>
          </w:p>
        </w:tc>
        <w:tc>
          <w:tcPr>
            <w:tcW w:w="4440" w:type="dxa"/>
            <w:gridSpan w:val="4"/>
            <w:vAlign w:val="center"/>
          </w:tcPr>
          <w:p w:rsidR="00B90EE1" w:rsidRDefault="003A231F">
            <w:pPr>
              <w:spacing w:before="60" w:after="60"/>
              <w:jc w:val="center"/>
              <w:rPr>
                <w:noProof/>
              </w:rPr>
            </w:pPr>
            <w:r>
              <w:rPr>
                <w:noProof/>
                <w:sz w:val="20"/>
              </w:rPr>
              <w:t xml:space="preserve">Príspevky </w:t>
            </w:r>
          </w:p>
        </w:tc>
      </w:tr>
      <w:tr w:rsidR="00B90EE1">
        <w:tc>
          <w:tcPr>
            <w:tcW w:w="1080" w:type="dxa"/>
            <w:vMerge/>
            <w:vAlign w:val="center"/>
          </w:tcPr>
          <w:p w:rsidR="00B90EE1" w:rsidRDefault="00B90EE1">
            <w:pPr>
              <w:jc w:val="center"/>
              <w:rPr>
                <w:noProof/>
              </w:rPr>
            </w:pPr>
          </w:p>
        </w:tc>
        <w:tc>
          <w:tcPr>
            <w:tcW w:w="3960" w:type="dxa"/>
            <w:vAlign w:val="center"/>
          </w:tcPr>
          <w:p w:rsidR="00B90EE1" w:rsidRDefault="003A231F">
            <w:pPr>
              <w:rPr>
                <w:noProof/>
              </w:rPr>
            </w:pPr>
            <w:r>
              <w:rPr>
                <w:noProof/>
                <w:sz w:val="20"/>
              </w:rPr>
              <w:t xml:space="preserve">Číslo </w:t>
            </w:r>
            <w:r>
              <w:rPr>
                <w:noProof/>
                <w:sz w:val="22"/>
              </w:rPr>
              <w:br/>
            </w:r>
            <w:r>
              <w:rPr>
                <w:noProof/>
                <w:sz w:val="20"/>
              </w:rPr>
              <w:t>[Názov………………………...……………]</w:t>
            </w:r>
          </w:p>
        </w:tc>
        <w:tc>
          <w:tcPr>
            <w:tcW w:w="1080" w:type="dxa"/>
            <w:vAlign w:val="center"/>
          </w:tcPr>
          <w:p w:rsidR="00B90EE1" w:rsidRDefault="003A231F">
            <w:pPr>
              <w:jc w:val="center"/>
              <w:rPr>
                <w:noProof/>
              </w:rPr>
            </w:pPr>
            <w:r>
              <w:rPr>
                <w:noProof/>
                <w:sz w:val="18"/>
              </w:rPr>
              <w:t>DRP/NRP</w:t>
            </w:r>
          </w:p>
        </w:tc>
        <w:tc>
          <w:tcPr>
            <w:tcW w:w="956" w:type="dxa"/>
            <w:vAlign w:val="center"/>
          </w:tcPr>
          <w:p w:rsidR="00B90EE1" w:rsidRDefault="003A231F">
            <w:pPr>
              <w:jc w:val="center"/>
              <w:rPr>
                <w:noProof/>
                <w:sz w:val="18"/>
              </w:rPr>
            </w:pPr>
            <w:r>
              <w:rPr>
                <w:noProof/>
                <w:sz w:val="18"/>
              </w:rPr>
              <w:t>krajín EZVO</w:t>
            </w:r>
          </w:p>
        </w:tc>
        <w:tc>
          <w:tcPr>
            <w:tcW w:w="1080" w:type="dxa"/>
            <w:vAlign w:val="center"/>
          </w:tcPr>
          <w:p w:rsidR="00B90EE1" w:rsidRDefault="003A231F">
            <w:pPr>
              <w:jc w:val="center"/>
              <w:rPr>
                <w:noProof/>
                <w:sz w:val="18"/>
              </w:rPr>
            </w:pPr>
            <w:r>
              <w:rPr>
                <w:noProof/>
                <w:sz w:val="18"/>
              </w:rPr>
              <w:t>kandidátskych krajín</w:t>
            </w:r>
          </w:p>
        </w:tc>
        <w:tc>
          <w:tcPr>
            <w:tcW w:w="956" w:type="dxa"/>
            <w:vAlign w:val="center"/>
          </w:tcPr>
          <w:p w:rsidR="00B90EE1" w:rsidRDefault="003A231F">
            <w:pPr>
              <w:jc w:val="center"/>
              <w:rPr>
                <w:noProof/>
                <w:sz w:val="18"/>
              </w:rPr>
            </w:pPr>
            <w:r>
              <w:rPr>
                <w:noProof/>
                <w:sz w:val="18"/>
              </w:rPr>
              <w:t>tretích krajín</w:t>
            </w:r>
          </w:p>
        </w:tc>
        <w:tc>
          <w:tcPr>
            <w:tcW w:w="1448" w:type="dxa"/>
            <w:vAlign w:val="center"/>
          </w:tcPr>
          <w:p w:rsidR="00B90EE1" w:rsidRDefault="003A231F">
            <w:pPr>
              <w:jc w:val="center"/>
              <w:rPr>
                <w:noProof/>
              </w:rPr>
            </w:pPr>
            <w:r>
              <w:rPr>
                <w:noProof/>
                <w:sz w:val="16"/>
              </w:rPr>
              <w:t xml:space="preserve">v zmysle článku 21 ods. 2 písm. b) nariadenia o rozpočtových pravidlách </w:t>
            </w:r>
          </w:p>
        </w:tc>
      </w:tr>
      <w:tr w:rsidR="00B90EE1">
        <w:tc>
          <w:tcPr>
            <w:tcW w:w="1080" w:type="dxa"/>
            <w:vAlign w:val="center"/>
          </w:tcPr>
          <w:p w:rsidR="00B90EE1" w:rsidRDefault="00B90EE1">
            <w:pPr>
              <w:jc w:val="center"/>
              <w:rPr>
                <w:noProof/>
                <w:color w:val="0000FF"/>
              </w:rPr>
            </w:pPr>
          </w:p>
        </w:tc>
        <w:tc>
          <w:tcPr>
            <w:tcW w:w="3960" w:type="dxa"/>
            <w:vAlign w:val="center"/>
          </w:tcPr>
          <w:p w:rsidR="00B90EE1" w:rsidRDefault="003A231F">
            <w:pPr>
              <w:spacing w:before="60"/>
              <w:rPr>
                <w:noProof/>
              </w:rPr>
            </w:pPr>
            <w:r>
              <w:rPr>
                <w:noProof/>
                <w:sz w:val="22"/>
              </w:rPr>
              <w:t>[XX.YY.YY.YY]</w:t>
            </w:r>
          </w:p>
          <w:p w:rsidR="00B90EE1" w:rsidRDefault="00B90EE1">
            <w:pPr>
              <w:spacing w:after="60"/>
              <w:rPr>
                <w:noProof/>
                <w:color w:val="0000FF"/>
              </w:rPr>
            </w:pPr>
          </w:p>
        </w:tc>
        <w:tc>
          <w:tcPr>
            <w:tcW w:w="1080" w:type="dxa"/>
            <w:vAlign w:val="center"/>
          </w:tcPr>
          <w:p w:rsidR="00B90EE1" w:rsidRDefault="00B90EE1">
            <w:pPr>
              <w:jc w:val="center"/>
              <w:rPr>
                <w:noProof/>
                <w:color w:val="0000FF"/>
              </w:rPr>
            </w:pPr>
          </w:p>
        </w:tc>
        <w:tc>
          <w:tcPr>
            <w:tcW w:w="956" w:type="dxa"/>
            <w:vAlign w:val="center"/>
          </w:tcPr>
          <w:p w:rsidR="00B90EE1" w:rsidRDefault="003A231F">
            <w:pPr>
              <w:jc w:val="center"/>
              <w:rPr>
                <w:noProof/>
              </w:rPr>
            </w:pPr>
            <w:r>
              <w:rPr>
                <w:noProof/>
                <w:sz w:val="22"/>
              </w:rPr>
              <w:t>ÁNO/NIE</w:t>
            </w:r>
          </w:p>
        </w:tc>
        <w:tc>
          <w:tcPr>
            <w:tcW w:w="1080" w:type="dxa"/>
            <w:vAlign w:val="center"/>
          </w:tcPr>
          <w:p w:rsidR="00B90EE1" w:rsidRDefault="003A231F">
            <w:pPr>
              <w:jc w:val="center"/>
              <w:rPr>
                <w:noProof/>
                <w:color w:val="0000FF"/>
                <w:sz w:val="18"/>
              </w:rPr>
            </w:pPr>
            <w:r>
              <w:rPr>
                <w:noProof/>
                <w:sz w:val="22"/>
              </w:rPr>
              <w:t>ÁNO/NIE</w:t>
            </w:r>
          </w:p>
        </w:tc>
        <w:tc>
          <w:tcPr>
            <w:tcW w:w="956" w:type="dxa"/>
            <w:vAlign w:val="center"/>
          </w:tcPr>
          <w:p w:rsidR="00B90EE1" w:rsidRDefault="003A231F">
            <w:pPr>
              <w:jc w:val="center"/>
              <w:rPr>
                <w:noProof/>
                <w:color w:val="0000FF"/>
                <w:sz w:val="18"/>
              </w:rPr>
            </w:pPr>
            <w:r>
              <w:rPr>
                <w:noProof/>
                <w:sz w:val="22"/>
              </w:rPr>
              <w:t>ÁNO/NIE</w:t>
            </w:r>
          </w:p>
        </w:tc>
        <w:tc>
          <w:tcPr>
            <w:tcW w:w="1448" w:type="dxa"/>
            <w:vAlign w:val="center"/>
          </w:tcPr>
          <w:p w:rsidR="00B90EE1" w:rsidRDefault="003A231F">
            <w:pPr>
              <w:jc w:val="center"/>
              <w:rPr>
                <w:noProof/>
              </w:rPr>
            </w:pPr>
            <w:r>
              <w:rPr>
                <w:noProof/>
                <w:sz w:val="22"/>
              </w:rPr>
              <w:t>ÁNO/NIE</w:t>
            </w:r>
          </w:p>
        </w:tc>
      </w:tr>
    </w:tbl>
    <w:p w:rsidR="00B90EE1" w:rsidRDefault="00B90EE1">
      <w:pPr>
        <w:rPr>
          <w:noProof/>
        </w:rPr>
        <w:sectPr w:rsidR="00B90EE1">
          <w:pgSz w:w="11907" w:h="16840" w:code="1"/>
          <w:pgMar w:top="1134" w:right="1418" w:bottom="1134" w:left="1418" w:header="709" w:footer="709" w:gutter="0"/>
          <w:cols w:space="708"/>
          <w:docGrid w:linePitch="360"/>
        </w:sectPr>
      </w:pPr>
    </w:p>
    <w:p w:rsidR="00B90EE1" w:rsidRDefault="003A231F">
      <w:pPr>
        <w:pStyle w:val="ManualHeading2"/>
        <w:rPr>
          <w:noProof/>
        </w:rPr>
      </w:pPr>
      <w:r>
        <w:rPr>
          <w:noProof/>
        </w:rPr>
        <w:lastRenderedPageBreak/>
        <w:t>3.2.</w:t>
      </w:r>
      <w:r>
        <w:rPr>
          <w:noProof/>
        </w:rPr>
        <w:tab/>
        <w:t>Odhadovaný vplyv na výdavky</w:t>
      </w:r>
    </w:p>
    <w:p w:rsidR="00B90EE1" w:rsidRDefault="003A231F">
      <w:pPr>
        <w:pStyle w:val="Text1"/>
        <w:rPr>
          <w:noProof/>
        </w:rPr>
      </w:pPr>
      <w:r>
        <w:rPr>
          <w:noProof/>
          <w:highlight w:val="lightGray"/>
        </w:rPr>
        <w:t xml:space="preserve">[Tento oddiel sa vyplní použitím </w:t>
      </w:r>
      <w:hyperlink r:id="rId16">
        <w:r>
          <w:rPr>
            <w:rStyle w:val="Hypertextovprepojenie"/>
            <w:b/>
            <w:noProof/>
            <w:highlight w:val="lightGray"/>
          </w:rPr>
          <w:t xml:space="preserve">tabuľky s rozpočtovými údajmi </w:t>
        </w:r>
        <w:r>
          <w:rPr>
            <w:rStyle w:val="Hypertextovprepojenie"/>
            <w:b/>
            <w:noProof/>
            <w:highlight w:val="lightGray"/>
          </w:rPr>
          <w:t>administratívnej povahy</w:t>
        </w:r>
      </w:hyperlink>
      <w:r>
        <w:rPr>
          <w:noProof/>
          <w:highlight w:val="lightGray"/>
        </w:rPr>
        <w:t xml:space="preserve"> (druhý dokument v prílohe k tomuto finančnému výkazu) a na účely konzultácie medzi útvarmi sa vloží do aplikácie DECIDE.]</w:t>
      </w:r>
    </w:p>
    <w:p w:rsidR="00B90EE1" w:rsidRDefault="003A231F">
      <w:pPr>
        <w:pStyle w:val="ManualHeading3"/>
        <w:rPr>
          <w:noProof/>
        </w:rPr>
      </w:pPr>
      <w:r>
        <w:rPr>
          <w:noProof/>
        </w:rPr>
        <w:t>3.2.1.</w:t>
      </w:r>
      <w:r>
        <w:rPr>
          <w:noProof/>
        </w:rPr>
        <w:tab/>
        <w:t>Zhrnutie odhadovaného vplyvu na výdavky</w:t>
      </w:r>
    </w:p>
    <w:p w:rsidR="00B90EE1" w:rsidRDefault="003A231F">
      <w:pPr>
        <w:jc w:val="right"/>
        <w:rPr>
          <w:noProof/>
          <w:sz w:val="20"/>
        </w:rPr>
      </w:pPr>
      <w:r>
        <w:rPr>
          <w:noProof/>
          <w:sz w:val="20"/>
        </w:rPr>
        <w:t>v mil. EUR (zaokrúhlené na 3 desatinné miesta)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B90EE1">
        <w:trPr>
          <w:jc w:val="center"/>
        </w:trPr>
        <w:tc>
          <w:tcPr>
            <w:tcW w:w="4744" w:type="dxa"/>
            <w:shd w:val="thinDiagStripe" w:color="C0C0C0" w:fill="auto"/>
            <w:vAlign w:val="center"/>
          </w:tcPr>
          <w:p w:rsidR="00B90EE1" w:rsidRDefault="003A231F">
            <w:pPr>
              <w:spacing w:before="60" w:after="60"/>
              <w:jc w:val="center"/>
              <w:rPr>
                <w:b/>
                <w:noProof/>
              </w:rPr>
            </w:pPr>
            <w:r>
              <w:rPr>
                <w:b/>
                <w:noProof/>
                <w:sz w:val="22"/>
              </w:rPr>
              <w:t>Okruh viacročnéh</w:t>
            </w:r>
            <w:r>
              <w:rPr>
                <w:b/>
                <w:noProof/>
                <w:sz w:val="22"/>
              </w:rPr>
              <w:t xml:space="preserve">o finančného </w:t>
            </w:r>
            <w:r>
              <w:rPr>
                <w:noProof/>
                <w:sz w:val="22"/>
              </w:rPr>
              <w:br/>
            </w:r>
            <w:r>
              <w:rPr>
                <w:b/>
                <w:noProof/>
                <w:sz w:val="22"/>
              </w:rPr>
              <w:t xml:space="preserve">rámca </w:t>
            </w:r>
          </w:p>
        </w:tc>
        <w:tc>
          <w:tcPr>
            <w:tcW w:w="1080" w:type="dxa"/>
            <w:vAlign w:val="center"/>
          </w:tcPr>
          <w:p w:rsidR="00B90EE1" w:rsidRDefault="003A231F">
            <w:pPr>
              <w:spacing w:before="60" w:after="60"/>
              <w:jc w:val="center"/>
              <w:rPr>
                <w:noProof/>
              </w:rPr>
            </w:pPr>
            <w:r>
              <w:rPr>
                <w:noProof/>
                <w:sz w:val="22"/>
              </w:rPr>
              <w:t>Číslo</w:t>
            </w:r>
          </w:p>
        </w:tc>
        <w:tc>
          <w:tcPr>
            <w:tcW w:w="7817" w:type="dxa"/>
            <w:vAlign w:val="center"/>
          </w:tcPr>
          <w:p w:rsidR="00B90EE1" w:rsidRDefault="003A231F">
            <w:pPr>
              <w:spacing w:before="60" w:after="60"/>
              <w:rPr>
                <w:noProof/>
              </w:rPr>
            </w:pPr>
            <w:r>
              <w:rPr>
                <w:noProof/>
                <w:sz w:val="22"/>
              </w:rPr>
              <w:t>[Názov……………...……………………………………………………………….]</w:t>
            </w:r>
          </w:p>
        </w:tc>
      </w:tr>
    </w:tbl>
    <w:p w:rsidR="00B90EE1" w:rsidRDefault="00B90EE1">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rsidR="00B90EE1">
        <w:tc>
          <w:tcPr>
            <w:tcW w:w="3960" w:type="dxa"/>
            <w:vAlign w:val="center"/>
          </w:tcPr>
          <w:p w:rsidR="00B90EE1" w:rsidRDefault="003A231F">
            <w:pPr>
              <w:jc w:val="center"/>
              <w:rPr>
                <w:noProof/>
              </w:rPr>
            </w:pPr>
            <w:r>
              <w:rPr>
                <w:noProof/>
                <w:sz w:val="22"/>
              </w:rPr>
              <w:t>GR: &lt;…….&gt;</w:t>
            </w:r>
          </w:p>
        </w:tc>
        <w:tc>
          <w:tcPr>
            <w:tcW w:w="1560" w:type="dxa"/>
            <w:gridSpan w:val="2"/>
          </w:tcPr>
          <w:p w:rsidR="00B90EE1" w:rsidRDefault="00B90EE1">
            <w:pPr>
              <w:rPr>
                <w:noProof/>
                <w:sz w:val="20"/>
              </w:rPr>
            </w:pPr>
          </w:p>
        </w:tc>
        <w:tc>
          <w:tcPr>
            <w:tcW w:w="534" w:type="dxa"/>
          </w:tcPr>
          <w:p w:rsidR="00B90EE1" w:rsidRDefault="00B90EE1">
            <w:pPr>
              <w:jc w:val="center"/>
              <w:rPr>
                <w:noProof/>
                <w:sz w:val="20"/>
              </w:rPr>
            </w:pP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w:t>
            </w:r>
            <w:r>
              <w:rPr>
                <w:rStyle w:val="Odkaznapoznmkupodiarou"/>
                <w:b/>
                <w:noProof/>
                <w:sz w:val="20"/>
              </w:rPr>
              <w:footnoteReference w:id="31"/>
            </w: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 + 1</w:t>
            </w: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 + 2</w:t>
            </w: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 + 3</w:t>
            </w:r>
          </w:p>
        </w:tc>
        <w:tc>
          <w:tcPr>
            <w:tcW w:w="2604" w:type="dxa"/>
            <w:gridSpan w:val="3"/>
            <w:vAlign w:val="center"/>
          </w:tcPr>
          <w:p w:rsidR="00B90EE1" w:rsidRDefault="003A231F">
            <w:pPr>
              <w:jc w:val="center"/>
              <w:rPr>
                <w:b/>
                <w:noProof/>
                <w:sz w:val="18"/>
              </w:rPr>
            </w:pPr>
            <w:r>
              <w:rPr>
                <w:noProof/>
                <w:sz w:val="18"/>
              </w:rPr>
              <w:t>Uveďte všetky roky, počas ktorých vplyv trvá (pozri bod 1.6)</w:t>
            </w:r>
          </w:p>
        </w:tc>
        <w:tc>
          <w:tcPr>
            <w:tcW w:w="1777" w:type="dxa"/>
            <w:vAlign w:val="center"/>
          </w:tcPr>
          <w:p w:rsidR="00B90EE1" w:rsidRDefault="003A231F">
            <w:pPr>
              <w:jc w:val="center"/>
              <w:rPr>
                <w:b/>
                <w:noProof/>
                <w:sz w:val="20"/>
              </w:rPr>
            </w:pPr>
            <w:r>
              <w:rPr>
                <w:b/>
                <w:noProof/>
                <w:sz w:val="20"/>
              </w:rPr>
              <w:t>SPOLU</w:t>
            </w:r>
          </w:p>
        </w:tc>
      </w:tr>
      <w:tr w:rsidR="00B90EE1">
        <w:trPr>
          <w:trHeight w:val="213"/>
        </w:trPr>
        <w:tc>
          <w:tcPr>
            <w:tcW w:w="6054" w:type="dxa"/>
            <w:gridSpan w:val="4"/>
            <w:vAlign w:val="center"/>
          </w:tcPr>
          <w:p w:rsidR="00B90EE1" w:rsidRDefault="003A231F">
            <w:pPr>
              <w:spacing w:before="20" w:after="20"/>
              <w:rPr>
                <w:noProof/>
                <w:sz w:val="21"/>
              </w:rPr>
            </w:pPr>
            <w:r>
              <w:rPr>
                <w:noProof/>
                <w:sz w:val="21"/>
              </w:rPr>
              <w:sym w:font="Wingdings" w:char="F09F"/>
            </w:r>
            <w:r>
              <w:rPr>
                <w:noProof/>
                <w:sz w:val="21"/>
              </w:rPr>
              <w:t xml:space="preserve"> Operačné rozpočtové prostriedky </w:t>
            </w:r>
          </w:p>
        </w:tc>
        <w:tc>
          <w:tcPr>
            <w:tcW w:w="868" w:type="dxa"/>
            <w:vAlign w:val="center"/>
          </w:tcPr>
          <w:p w:rsidR="00B90EE1" w:rsidRDefault="00B90EE1">
            <w:pPr>
              <w:rPr>
                <w:noProof/>
                <w:sz w:val="20"/>
              </w:rPr>
            </w:pPr>
          </w:p>
        </w:tc>
        <w:tc>
          <w:tcPr>
            <w:tcW w:w="868" w:type="dxa"/>
            <w:vAlign w:val="center"/>
          </w:tcPr>
          <w:p w:rsidR="00B90EE1" w:rsidRDefault="00B90EE1">
            <w:pPr>
              <w:rPr>
                <w:noProof/>
                <w:sz w:val="20"/>
              </w:rPr>
            </w:pPr>
          </w:p>
        </w:tc>
        <w:tc>
          <w:tcPr>
            <w:tcW w:w="868" w:type="dxa"/>
            <w:vAlign w:val="center"/>
          </w:tcPr>
          <w:p w:rsidR="00B90EE1" w:rsidRDefault="00B90EE1">
            <w:pPr>
              <w:rPr>
                <w:noProof/>
                <w:sz w:val="20"/>
              </w:rPr>
            </w:pPr>
          </w:p>
        </w:tc>
        <w:tc>
          <w:tcPr>
            <w:tcW w:w="868" w:type="dxa"/>
            <w:vAlign w:val="center"/>
          </w:tcPr>
          <w:p w:rsidR="00B90EE1" w:rsidRDefault="00B90EE1">
            <w:pPr>
              <w:rPr>
                <w:noProof/>
                <w:sz w:val="20"/>
              </w:rPr>
            </w:pPr>
          </w:p>
        </w:tc>
        <w:tc>
          <w:tcPr>
            <w:tcW w:w="868" w:type="dxa"/>
            <w:vAlign w:val="center"/>
          </w:tcPr>
          <w:p w:rsidR="00B90EE1" w:rsidRDefault="00B90EE1">
            <w:pPr>
              <w:rPr>
                <w:noProof/>
                <w:sz w:val="20"/>
              </w:rPr>
            </w:pPr>
          </w:p>
        </w:tc>
        <w:tc>
          <w:tcPr>
            <w:tcW w:w="868" w:type="dxa"/>
            <w:vAlign w:val="center"/>
          </w:tcPr>
          <w:p w:rsidR="00B90EE1" w:rsidRDefault="00B90EE1">
            <w:pPr>
              <w:rPr>
                <w:noProof/>
                <w:sz w:val="20"/>
              </w:rPr>
            </w:pPr>
          </w:p>
        </w:tc>
        <w:tc>
          <w:tcPr>
            <w:tcW w:w="868" w:type="dxa"/>
            <w:vAlign w:val="center"/>
          </w:tcPr>
          <w:p w:rsidR="00B90EE1" w:rsidRDefault="00B90EE1">
            <w:pPr>
              <w:rPr>
                <w:b/>
                <w:noProof/>
                <w:sz w:val="20"/>
              </w:rPr>
            </w:pPr>
          </w:p>
        </w:tc>
        <w:tc>
          <w:tcPr>
            <w:tcW w:w="1777" w:type="dxa"/>
            <w:vAlign w:val="center"/>
          </w:tcPr>
          <w:p w:rsidR="00B90EE1" w:rsidRDefault="00B90EE1">
            <w:pPr>
              <w:rPr>
                <w:b/>
                <w:noProof/>
                <w:sz w:val="20"/>
              </w:rPr>
            </w:pPr>
          </w:p>
        </w:tc>
      </w:tr>
      <w:tr w:rsidR="00B90EE1">
        <w:trPr>
          <w:trHeight w:val="277"/>
        </w:trPr>
        <w:tc>
          <w:tcPr>
            <w:tcW w:w="3960" w:type="dxa"/>
            <w:vMerge w:val="restart"/>
            <w:vAlign w:val="center"/>
          </w:tcPr>
          <w:p w:rsidR="00B90EE1" w:rsidRDefault="003A231F">
            <w:pPr>
              <w:rPr>
                <w:noProof/>
              </w:rPr>
            </w:pPr>
            <w:r>
              <w:rPr>
                <w:noProof/>
                <w:sz w:val="20"/>
              </w:rPr>
              <w:t>Číslo rozpočtového riadka</w:t>
            </w:r>
          </w:p>
        </w:tc>
        <w:tc>
          <w:tcPr>
            <w:tcW w:w="1440" w:type="dxa"/>
            <w:vAlign w:val="center"/>
          </w:tcPr>
          <w:p w:rsidR="00B90EE1" w:rsidRDefault="003A231F">
            <w:pPr>
              <w:spacing w:before="20" w:after="20"/>
              <w:rPr>
                <w:noProof/>
                <w:sz w:val="18"/>
              </w:rPr>
            </w:pPr>
            <w:r>
              <w:rPr>
                <w:noProof/>
                <w:sz w:val="18"/>
              </w:rPr>
              <w:t>Záväzky</w:t>
            </w:r>
          </w:p>
        </w:tc>
        <w:tc>
          <w:tcPr>
            <w:tcW w:w="654" w:type="dxa"/>
            <w:gridSpan w:val="2"/>
            <w:vAlign w:val="center"/>
          </w:tcPr>
          <w:p w:rsidR="00B90EE1" w:rsidRDefault="003A231F">
            <w:pPr>
              <w:spacing w:before="20" w:after="20"/>
              <w:jc w:val="center"/>
              <w:rPr>
                <w:noProof/>
                <w:sz w:val="14"/>
              </w:rPr>
            </w:pPr>
            <w:r>
              <w:rPr>
                <w:noProof/>
                <w:sz w:val="14"/>
              </w:rPr>
              <w:t>(1)</w:t>
            </w: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b/>
                <w:noProof/>
                <w:sz w:val="20"/>
              </w:rPr>
            </w:pPr>
          </w:p>
        </w:tc>
        <w:tc>
          <w:tcPr>
            <w:tcW w:w="1777" w:type="dxa"/>
            <w:vAlign w:val="center"/>
          </w:tcPr>
          <w:p w:rsidR="00B90EE1" w:rsidRDefault="00B90EE1">
            <w:pPr>
              <w:spacing w:before="20" w:after="20"/>
              <w:jc w:val="right"/>
              <w:rPr>
                <w:b/>
                <w:noProof/>
                <w:sz w:val="20"/>
              </w:rPr>
            </w:pPr>
          </w:p>
        </w:tc>
      </w:tr>
      <w:tr w:rsidR="00B90EE1">
        <w:tc>
          <w:tcPr>
            <w:tcW w:w="3960" w:type="dxa"/>
            <w:vMerge/>
          </w:tcPr>
          <w:p w:rsidR="00B90EE1" w:rsidRDefault="00B90EE1">
            <w:pPr>
              <w:jc w:val="center"/>
              <w:rPr>
                <w:noProof/>
                <w:sz w:val="20"/>
              </w:rPr>
            </w:pPr>
          </w:p>
        </w:tc>
        <w:tc>
          <w:tcPr>
            <w:tcW w:w="1440" w:type="dxa"/>
            <w:vAlign w:val="center"/>
          </w:tcPr>
          <w:p w:rsidR="00B90EE1" w:rsidRDefault="003A231F">
            <w:pPr>
              <w:spacing w:before="20" w:after="20"/>
              <w:rPr>
                <w:noProof/>
                <w:sz w:val="18"/>
              </w:rPr>
            </w:pPr>
            <w:r>
              <w:rPr>
                <w:noProof/>
                <w:sz w:val="18"/>
              </w:rPr>
              <w:t>Platby</w:t>
            </w:r>
          </w:p>
        </w:tc>
        <w:tc>
          <w:tcPr>
            <w:tcW w:w="654" w:type="dxa"/>
            <w:gridSpan w:val="2"/>
            <w:vAlign w:val="center"/>
          </w:tcPr>
          <w:p w:rsidR="00B90EE1" w:rsidRDefault="003A231F">
            <w:pPr>
              <w:spacing w:before="20" w:after="20"/>
              <w:jc w:val="center"/>
              <w:rPr>
                <w:noProof/>
                <w:sz w:val="14"/>
              </w:rPr>
            </w:pPr>
            <w:r>
              <w:rPr>
                <w:noProof/>
                <w:sz w:val="14"/>
              </w:rPr>
              <w:t>(2)</w:t>
            </w: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b/>
                <w:noProof/>
                <w:sz w:val="20"/>
              </w:rPr>
            </w:pPr>
          </w:p>
        </w:tc>
        <w:tc>
          <w:tcPr>
            <w:tcW w:w="1777" w:type="dxa"/>
            <w:vAlign w:val="center"/>
          </w:tcPr>
          <w:p w:rsidR="00B90EE1" w:rsidRDefault="00B90EE1">
            <w:pPr>
              <w:spacing w:before="20" w:after="20"/>
              <w:jc w:val="right"/>
              <w:rPr>
                <w:b/>
                <w:noProof/>
                <w:sz w:val="20"/>
              </w:rPr>
            </w:pPr>
          </w:p>
        </w:tc>
      </w:tr>
      <w:tr w:rsidR="00B90EE1">
        <w:tc>
          <w:tcPr>
            <w:tcW w:w="3960" w:type="dxa"/>
            <w:vMerge w:val="restart"/>
            <w:vAlign w:val="center"/>
          </w:tcPr>
          <w:p w:rsidR="00B90EE1" w:rsidRDefault="003A231F">
            <w:pPr>
              <w:rPr>
                <w:noProof/>
              </w:rPr>
            </w:pPr>
            <w:r>
              <w:rPr>
                <w:noProof/>
                <w:sz w:val="20"/>
              </w:rPr>
              <w:t>Číslo rozpočtového riadka</w:t>
            </w:r>
          </w:p>
        </w:tc>
        <w:tc>
          <w:tcPr>
            <w:tcW w:w="1440" w:type="dxa"/>
            <w:vAlign w:val="center"/>
          </w:tcPr>
          <w:p w:rsidR="00B90EE1" w:rsidRDefault="003A231F">
            <w:pPr>
              <w:spacing w:before="20" w:after="20"/>
              <w:rPr>
                <w:noProof/>
                <w:sz w:val="18"/>
              </w:rPr>
            </w:pPr>
            <w:r>
              <w:rPr>
                <w:noProof/>
                <w:sz w:val="18"/>
              </w:rPr>
              <w:t>Záväzky</w:t>
            </w:r>
          </w:p>
        </w:tc>
        <w:tc>
          <w:tcPr>
            <w:tcW w:w="654" w:type="dxa"/>
            <w:gridSpan w:val="2"/>
            <w:vAlign w:val="center"/>
          </w:tcPr>
          <w:p w:rsidR="00B90EE1" w:rsidRDefault="003A231F">
            <w:pPr>
              <w:spacing w:before="20" w:after="20"/>
              <w:jc w:val="center"/>
              <w:rPr>
                <w:noProof/>
                <w:sz w:val="14"/>
              </w:rPr>
            </w:pPr>
            <w:r>
              <w:rPr>
                <w:noProof/>
                <w:sz w:val="14"/>
              </w:rPr>
              <w:t>(1a)</w:t>
            </w: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b/>
                <w:noProof/>
                <w:sz w:val="20"/>
              </w:rPr>
            </w:pPr>
          </w:p>
        </w:tc>
        <w:tc>
          <w:tcPr>
            <w:tcW w:w="1777" w:type="dxa"/>
            <w:vAlign w:val="center"/>
          </w:tcPr>
          <w:p w:rsidR="00B90EE1" w:rsidRDefault="00B90EE1">
            <w:pPr>
              <w:spacing w:before="20" w:after="20"/>
              <w:jc w:val="right"/>
              <w:rPr>
                <w:b/>
                <w:noProof/>
                <w:sz w:val="20"/>
              </w:rPr>
            </w:pPr>
          </w:p>
        </w:tc>
      </w:tr>
      <w:tr w:rsidR="00B90EE1">
        <w:tc>
          <w:tcPr>
            <w:tcW w:w="3960" w:type="dxa"/>
            <w:vMerge/>
          </w:tcPr>
          <w:p w:rsidR="00B90EE1" w:rsidRDefault="00B90EE1">
            <w:pPr>
              <w:jc w:val="center"/>
              <w:rPr>
                <w:noProof/>
                <w:sz w:val="20"/>
              </w:rPr>
            </w:pPr>
          </w:p>
        </w:tc>
        <w:tc>
          <w:tcPr>
            <w:tcW w:w="1440" w:type="dxa"/>
            <w:vAlign w:val="center"/>
          </w:tcPr>
          <w:p w:rsidR="00B90EE1" w:rsidRDefault="003A231F">
            <w:pPr>
              <w:spacing w:before="20" w:after="20"/>
              <w:rPr>
                <w:noProof/>
                <w:sz w:val="18"/>
              </w:rPr>
            </w:pPr>
            <w:r>
              <w:rPr>
                <w:noProof/>
                <w:sz w:val="18"/>
              </w:rPr>
              <w:t>Platby</w:t>
            </w:r>
          </w:p>
        </w:tc>
        <w:tc>
          <w:tcPr>
            <w:tcW w:w="654" w:type="dxa"/>
            <w:gridSpan w:val="2"/>
            <w:vAlign w:val="center"/>
          </w:tcPr>
          <w:p w:rsidR="00B90EE1" w:rsidRDefault="003A231F">
            <w:pPr>
              <w:spacing w:before="20" w:after="20"/>
              <w:jc w:val="center"/>
              <w:rPr>
                <w:noProof/>
                <w:sz w:val="14"/>
              </w:rPr>
            </w:pPr>
            <w:r>
              <w:rPr>
                <w:noProof/>
                <w:sz w:val="14"/>
              </w:rPr>
              <w:t>(2a)</w:t>
            </w: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b/>
                <w:noProof/>
                <w:sz w:val="20"/>
              </w:rPr>
            </w:pPr>
          </w:p>
        </w:tc>
        <w:tc>
          <w:tcPr>
            <w:tcW w:w="1777" w:type="dxa"/>
            <w:vAlign w:val="center"/>
          </w:tcPr>
          <w:p w:rsidR="00B90EE1" w:rsidRDefault="00B90EE1">
            <w:pPr>
              <w:spacing w:before="20" w:after="20"/>
              <w:jc w:val="right"/>
              <w:rPr>
                <w:b/>
                <w:noProof/>
                <w:sz w:val="20"/>
              </w:rPr>
            </w:pPr>
          </w:p>
        </w:tc>
      </w:tr>
      <w:tr w:rsidR="00B90EE1">
        <w:trPr>
          <w:trHeight w:val="231"/>
        </w:trPr>
        <w:tc>
          <w:tcPr>
            <w:tcW w:w="6054" w:type="dxa"/>
            <w:gridSpan w:val="4"/>
            <w:vAlign w:val="center"/>
          </w:tcPr>
          <w:p w:rsidR="00B90EE1" w:rsidRDefault="003A231F">
            <w:pPr>
              <w:spacing w:before="20" w:after="20"/>
              <w:rPr>
                <w:noProof/>
                <w:sz w:val="21"/>
              </w:rPr>
            </w:pPr>
            <w:r>
              <w:rPr>
                <w:noProof/>
                <w:sz w:val="21"/>
              </w:rPr>
              <w:t>Administratívne rozpočtové prostriedky financované z balíka prostriedkov určených na realizáciu osobitných programov</w:t>
            </w:r>
            <w:r>
              <w:rPr>
                <w:rStyle w:val="Odkaznapoznmkupodiarou"/>
                <w:noProof/>
                <w:sz w:val="21"/>
              </w:rPr>
              <w:footnoteReference w:id="32"/>
            </w:r>
          </w:p>
          <w:p w:rsidR="00B90EE1" w:rsidRDefault="00B90EE1">
            <w:pPr>
              <w:spacing w:before="0" w:after="0"/>
              <w:rPr>
                <w:noProof/>
              </w:rPr>
            </w:pPr>
          </w:p>
        </w:tc>
        <w:tc>
          <w:tcPr>
            <w:tcW w:w="868" w:type="dxa"/>
            <w:vAlign w:val="center"/>
          </w:tcPr>
          <w:p w:rsidR="00B90EE1" w:rsidRDefault="00B90EE1">
            <w:pPr>
              <w:rPr>
                <w:b/>
                <w:noProof/>
                <w:sz w:val="20"/>
              </w:rPr>
            </w:pPr>
          </w:p>
        </w:tc>
        <w:tc>
          <w:tcPr>
            <w:tcW w:w="868" w:type="dxa"/>
            <w:vAlign w:val="center"/>
          </w:tcPr>
          <w:p w:rsidR="00B90EE1" w:rsidRDefault="00B90EE1">
            <w:pPr>
              <w:rPr>
                <w:b/>
                <w:noProof/>
                <w:sz w:val="20"/>
              </w:rPr>
            </w:pPr>
          </w:p>
        </w:tc>
        <w:tc>
          <w:tcPr>
            <w:tcW w:w="868" w:type="dxa"/>
            <w:vAlign w:val="center"/>
          </w:tcPr>
          <w:p w:rsidR="00B90EE1" w:rsidRDefault="00B90EE1">
            <w:pPr>
              <w:rPr>
                <w:b/>
                <w:noProof/>
                <w:sz w:val="20"/>
              </w:rPr>
            </w:pPr>
          </w:p>
        </w:tc>
        <w:tc>
          <w:tcPr>
            <w:tcW w:w="868" w:type="dxa"/>
            <w:vAlign w:val="center"/>
          </w:tcPr>
          <w:p w:rsidR="00B90EE1" w:rsidRDefault="00B90EE1">
            <w:pPr>
              <w:rPr>
                <w:b/>
                <w:noProof/>
                <w:sz w:val="20"/>
              </w:rPr>
            </w:pPr>
          </w:p>
        </w:tc>
        <w:tc>
          <w:tcPr>
            <w:tcW w:w="868" w:type="dxa"/>
            <w:vAlign w:val="center"/>
          </w:tcPr>
          <w:p w:rsidR="00B90EE1" w:rsidRDefault="00B90EE1">
            <w:pPr>
              <w:rPr>
                <w:b/>
                <w:noProof/>
                <w:sz w:val="20"/>
              </w:rPr>
            </w:pPr>
          </w:p>
        </w:tc>
        <w:tc>
          <w:tcPr>
            <w:tcW w:w="868" w:type="dxa"/>
            <w:vAlign w:val="center"/>
          </w:tcPr>
          <w:p w:rsidR="00B90EE1" w:rsidRDefault="00B90EE1">
            <w:pPr>
              <w:rPr>
                <w:b/>
                <w:noProof/>
                <w:sz w:val="20"/>
              </w:rPr>
            </w:pPr>
          </w:p>
        </w:tc>
        <w:tc>
          <w:tcPr>
            <w:tcW w:w="868" w:type="dxa"/>
            <w:vAlign w:val="center"/>
          </w:tcPr>
          <w:p w:rsidR="00B90EE1" w:rsidRDefault="00B90EE1">
            <w:pPr>
              <w:rPr>
                <w:b/>
                <w:noProof/>
                <w:sz w:val="20"/>
              </w:rPr>
            </w:pPr>
          </w:p>
        </w:tc>
        <w:tc>
          <w:tcPr>
            <w:tcW w:w="1777" w:type="dxa"/>
            <w:vAlign w:val="center"/>
          </w:tcPr>
          <w:p w:rsidR="00B90EE1" w:rsidRDefault="00B90EE1">
            <w:pPr>
              <w:rPr>
                <w:b/>
                <w:noProof/>
                <w:sz w:val="20"/>
              </w:rPr>
            </w:pPr>
          </w:p>
        </w:tc>
      </w:tr>
      <w:tr w:rsidR="00B90EE1">
        <w:trPr>
          <w:trHeight w:val="319"/>
        </w:trPr>
        <w:tc>
          <w:tcPr>
            <w:tcW w:w="3960" w:type="dxa"/>
            <w:vAlign w:val="center"/>
          </w:tcPr>
          <w:p w:rsidR="00B90EE1" w:rsidRDefault="003A231F">
            <w:pPr>
              <w:spacing w:before="60" w:after="60"/>
              <w:rPr>
                <w:noProof/>
              </w:rPr>
            </w:pPr>
            <w:r>
              <w:rPr>
                <w:noProof/>
                <w:sz w:val="20"/>
              </w:rPr>
              <w:t xml:space="preserve">Číslo </w:t>
            </w:r>
            <w:r>
              <w:rPr>
                <w:noProof/>
                <w:sz w:val="20"/>
              </w:rPr>
              <w:t>rozpočtového riadka</w:t>
            </w:r>
          </w:p>
        </w:tc>
        <w:tc>
          <w:tcPr>
            <w:tcW w:w="1440" w:type="dxa"/>
            <w:vAlign w:val="center"/>
          </w:tcPr>
          <w:p w:rsidR="00B90EE1" w:rsidRDefault="00B90EE1">
            <w:pPr>
              <w:spacing w:before="40" w:after="40"/>
              <w:jc w:val="right"/>
              <w:rPr>
                <w:noProof/>
                <w:sz w:val="18"/>
              </w:rPr>
            </w:pPr>
          </w:p>
        </w:tc>
        <w:tc>
          <w:tcPr>
            <w:tcW w:w="654" w:type="dxa"/>
            <w:gridSpan w:val="2"/>
            <w:vAlign w:val="center"/>
          </w:tcPr>
          <w:p w:rsidR="00B90EE1" w:rsidRDefault="003A231F">
            <w:pPr>
              <w:spacing w:before="40" w:after="40"/>
              <w:jc w:val="center"/>
              <w:rPr>
                <w:noProof/>
                <w:sz w:val="14"/>
              </w:rPr>
            </w:pPr>
            <w:r>
              <w:rPr>
                <w:noProof/>
                <w:sz w:val="14"/>
              </w:rPr>
              <w:t>(3)</w:t>
            </w:r>
          </w:p>
        </w:tc>
        <w:tc>
          <w:tcPr>
            <w:tcW w:w="868" w:type="dxa"/>
            <w:vAlign w:val="center"/>
          </w:tcPr>
          <w:p w:rsidR="00B90EE1" w:rsidRDefault="00B90EE1">
            <w:pPr>
              <w:spacing w:before="40" w:after="40"/>
              <w:jc w:val="right"/>
              <w:rPr>
                <w:b/>
                <w:noProof/>
                <w:sz w:val="20"/>
              </w:rPr>
            </w:pPr>
          </w:p>
        </w:tc>
        <w:tc>
          <w:tcPr>
            <w:tcW w:w="868" w:type="dxa"/>
            <w:vAlign w:val="center"/>
          </w:tcPr>
          <w:p w:rsidR="00B90EE1" w:rsidRDefault="00B90EE1">
            <w:pPr>
              <w:spacing w:before="40" w:after="40"/>
              <w:jc w:val="right"/>
              <w:rPr>
                <w:b/>
                <w:noProof/>
                <w:sz w:val="20"/>
              </w:rPr>
            </w:pPr>
          </w:p>
        </w:tc>
        <w:tc>
          <w:tcPr>
            <w:tcW w:w="868" w:type="dxa"/>
            <w:vAlign w:val="center"/>
          </w:tcPr>
          <w:p w:rsidR="00B90EE1" w:rsidRDefault="00B90EE1">
            <w:pPr>
              <w:spacing w:before="40" w:after="40"/>
              <w:jc w:val="right"/>
              <w:rPr>
                <w:b/>
                <w:noProof/>
                <w:sz w:val="20"/>
              </w:rPr>
            </w:pPr>
          </w:p>
        </w:tc>
        <w:tc>
          <w:tcPr>
            <w:tcW w:w="868" w:type="dxa"/>
            <w:vAlign w:val="center"/>
          </w:tcPr>
          <w:p w:rsidR="00B90EE1" w:rsidRDefault="00B90EE1">
            <w:pPr>
              <w:spacing w:before="40" w:after="40"/>
              <w:jc w:val="right"/>
              <w:rPr>
                <w:b/>
                <w:noProof/>
                <w:sz w:val="20"/>
              </w:rPr>
            </w:pPr>
          </w:p>
        </w:tc>
        <w:tc>
          <w:tcPr>
            <w:tcW w:w="868" w:type="dxa"/>
            <w:vAlign w:val="center"/>
          </w:tcPr>
          <w:p w:rsidR="00B90EE1" w:rsidRDefault="00B90EE1">
            <w:pPr>
              <w:spacing w:before="40" w:after="40"/>
              <w:jc w:val="right"/>
              <w:rPr>
                <w:b/>
                <w:noProof/>
                <w:sz w:val="20"/>
              </w:rPr>
            </w:pPr>
          </w:p>
        </w:tc>
        <w:tc>
          <w:tcPr>
            <w:tcW w:w="868" w:type="dxa"/>
            <w:vAlign w:val="center"/>
          </w:tcPr>
          <w:p w:rsidR="00B90EE1" w:rsidRDefault="00B90EE1">
            <w:pPr>
              <w:spacing w:before="40" w:after="40"/>
              <w:jc w:val="right"/>
              <w:rPr>
                <w:b/>
                <w:noProof/>
                <w:sz w:val="20"/>
              </w:rPr>
            </w:pPr>
          </w:p>
        </w:tc>
        <w:tc>
          <w:tcPr>
            <w:tcW w:w="868" w:type="dxa"/>
            <w:vAlign w:val="center"/>
          </w:tcPr>
          <w:p w:rsidR="00B90EE1" w:rsidRDefault="00B90EE1">
            <w:pPr>
              <w:spacing w:before="40" w:after="40"/>
              <w:jc w:val="right"/>
              <w:rPr>
                <w:b/>
                <w:noProof/>
                <w:sz w:val="20"/>
              </w:rPr>
            </w:pPr>
          </w:p>
        </w:tc>
        <w:tc>
          <w:tcPr>
            <w:tcW w:w="1777" w:type="dxa"/>
            <w:vAlign w:val="center"/>
          </w:tcPr>
          <w:p w:rsidR="00B90EE1" w:rsidRDefault="00B90EE1">
            <w:pPr>
              <w:spacing w:before="40" w:after="40"/>
              <w:jc w:val="right"/>
              <w:rPr>
                <w:b/>
                <w:noProof/>
                <w:sz w:val="20"/>
              </w:rPr>
            </w:pPr>
          </w:p>
        </w:tc>
      </w:tr>
      <w:tr w:rsidR="00B90EE1">
        <w:tc>
          <w:tcPr>
            <w:tcW w:w="3960" w:type="dxa"/>
            <w:vMerge w:val="restart"/>
            <w:vAlign w:val="center"/>
          </w:tcPr>
          <w:p w:rsidR="00B90EE1" w:rsidRDefault="003A231F">
            <w:pPr>
              <w:jc w:val="center"/>
              <w:rPr>
                <w:b/>
                <w:noProof/>
              </w:rPr>
            </w:pPr>
            <w:r>
              <w:rPr>
                <w:b/>
                <w:noProof/>
                <w:sz w:val="22"/>
              </w:rPr>
              <w:t>Rozpočtové prostriedky</w:t>
            </w:r>
            <w:r>
              <w:rPr>
                <w:noProof/>
                <w:sz w:val="22"/>
              </w:rPr>
              <w:br/>
            </w:r>
            <w:r>
              <w:rPr>
                <w:b/>
                <w:noProof/>
                <w:sz w:val="22"/>
              </w:rPr>
              <w:t xml:space="preserve">Pre GR </w:t>
            </w:r>
            <w:r>
              <w:rPr>
                <w:noProof/>
                <w:sz w:val="22"/>
              </w:rPr>
              <w:t>&lt;…….&gt;</w:t>
            </w:r>
          </w:p>
        </w:tc>
        <w:tc>
          <w:tcPr>
            <w:tcW w:w="1440" w:type="dxa"/>
            <w:vAlign w:val="center"/>
          </w:tcPr>
          <w:p w:rsidR="00B90EE1" w:rsidRDefault="003A231F">
            <w:pPr>
              <w:rPr>
                <w:noProof/>
                <w:sz w:val="18"/>
              </w:rPr>
            </w:pPr>
            <w:r>
              <w:rPr>
                <w:noProof/>
                <w:sz w:val="18"/>
              </w:rPr>
              <w:t>Záväzky</w:t>
            </w:r>
          </w:p>
        </w:tc>
        <w:tc>
          <w:tcPr>
            <w:tcW w:w="654" w:type="dxa"/>
            <w:gridSpan w:val="2"/>
            <w:vAlign w:val="center"/>
          </w:tcPr>
          <w:p w:rsidR="00B90EE1" w:rsidRDefault="003A231F">
            <w:pPr>
              <w:jc w:val="center"/>
              <w:rPr>
                <w:noProof/>
                <w:sz w:val="14"/>
              </w:rPr>
            </w:pPr>
            <w:r>
              <w:rPr>
                <w:noProof/>
                <w:sz w:val="14"/>
              </w:rPr>
              <w:t>= 1 + 1a + 3</w:t>
            </w: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b/>
                <w:noProof/>
                <w:sz w:val="20"/>
              </w:rPr>
            </w:pPr>
          </w:p>
        </w:tc>
        <w:tc>
          <w:tcPr>
            <w:tcW w:w="1777" w:type="dxa"/>
            <w:vAlign w:val="center"/>
          </w:tcPr>
          <w:p w:rsidR="00B90EE1" w:rsidRDefault="00B90EE1">
            <w:pPr>
              <w:spacing w:before="20" w:after="20"/>
              <w:jc w:val="right"/>
              <w:rPr>
                <w:b/>
                <w:noProof/>
                <w:sz w:val="20"/>
              </w:rPr>
            </w:pPr>
          </w:p>
        </w:tc>
      </w:tr>
      <w:tr w:rsidR="00B90EE1">
        <w:tc>
          <w:tcPr>
            <w:tcW w:w="3960" w:type="dxa"/>
            <w:vMerge/>
          </w:tcPr>
          <w:p w:rsidR="00B90EE1" w:rsidRDefault="00B90EE1">
            <w:pPr>
              <w:rPr>
                <w:noProof/>
                <w:sz w:val="20"/>
              </w:rPr>
            </w:pPr>
          </w:p>
        </w:tc>
        <w:tc>
          <w:tcPr>
            <w:tcW w:w="1440" w:type="dxa"/>
            <w:vAlign w:val="center"/>
          </w:tcPr>
          <w:p w:rsidR="00B90EE1" w:rsidRDefault="003A231F">
            <w:pPr>
              <w:rPr>
                <w:noProof/>
                <w:sz w:val="18"/>
              </w:rPr>
            </w:pPr>
            <w:r>
              <w:rPr>
                <w:noProof/>
                <w:sz w:val="18"/>
              </w:rPr>
              <w:t>Platby</w:t>
            </w:r>
          </w:p>
        </w:tc>
        <w:tc>
          <w:tcPr>
            <w:tcW w:w="654" w:type="dxa"/>
            <w:gridSpan w:val="2"/>
            <w:vAlign w:val="center"/>
          </w:tcPr>
          <w:p w:rsidR="00B90EE1" w:rsidRDefault="003A231F">
            <w:pPr>
              <w:jc w:val="center"/>
              <w:rPr>
                <w:noProof/>
                <w:sz w:val="14"/>
              </w:rPr>
            </w:pPr>
            <w:r>
              <w:rPr>
                <w:noProof/>
                <w:sz w:val="14"/>
              </w:rPr>
              <w:t>= 2 + 2a</w:t>
            </w:r>
          </w:p>
          <w:p w:rsidR="00B90EE1" w:rsidRDefault="003A231F">
            <w:pPr>
              <w:jc w:val="center"/>
              <w:rPr>
                <w:noProof/>
                <w:sz w:val="14"/>
              </w:rPr>
            </w:pPr>
            <w:r>
              <w:rPr>
                <w:noProof/>
                <w:sz w:val="14"/>
              </w:rPr>
              <w:t>+ 3</w:t>
            </w: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b/>
                <w:noProof/>
                <w:sz w:val="20"/>
              </w:rPr>
            </w:pPr>
          </w:p>
        </w:tc>
        <w:tc>
          <w:tcPr>
            <w:tcW w:w="1777" w:type="dxa"/>
            <w:vAlign w:val="center"/>
          </w:tcPr>
          <w:p w:rsidR="00B90EE1" w:rsidRDefault="00B90EE1">
            <w:pPr>
              <w:spacing w:before="20" w:after="20"/>
              <w:jc w:val="right"/>
              <w:rPr>
                <w:b/>
                <w:noProof/>
                <w:sz w:val="20"/>
              </w:rPr>
            </w:pPr>
          </w:p>
        </w:tc>
      </w:tr>
    </w:tbl>
    <w:p w:rsidR="00B90EE1" w:rsidRDefault="003A231F">
      <w:pPr>
        <w:rPr>
          <w:noProof/>
        </w:rPr>
      </w:pPr>
      <w:r>
        <w:rPr>
          <w:noProof/>
        </w:rPr>
        <w:lastRenderedPageBreak/>
        <w:br/>
      </w:r>
      <w:r>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B90EE1">
        <w:trPr>
          <w:trHeight w:val="277"/>
        </w:trPr>
        <w:tc>
          <w:tcPr>
            <w:tcW w:w="3960" w:type="dxa"/>
            <w:vMerge w:val="restart"/>
            <w:vAlign w:val="center"/>
          </w:tcPr>
          <w:p w:rsidR="00B90EE1" w:rsidRDefault="003A231F">
            <w:pPr>
              <w:spacing w:before="20" w:after="20"/>
              <w:rPr>
                <w:noProof/>
              </w:rPr>
            </w:pPr>
            <w:r>
              <w:rPr>
                <w:noProof/>
              </w:rPr>
              <w:br w:type="page"/>
            </w:r>
            <w:r>
              <w:rPr>
                <w:noProof/>
                <w:sz w:val="21"/>
              </w:rPr>
              <w:sym w:font="Wingdings" w:char="F09F"/>
            </w:r>
            <w:r>
              <w:rPr>
                <w:noProof/>
              </w:rPr>
              <w:t xml:space="preserve"> </w:t>
            </w:r>
            <w:r>
              <w:rPr>
                <w:noProof/>
                <w:sz w:val="21"/>
              </w:rPr>
              <w:t>Operačné rozpočtové prostriedky SPOLU</w:t>
            </w:r>
          </w:p>
        </w:tc>
        <w:tc>
          <w:tcPr>
            <w:tcW w:w="1440" w:type="dxa"/>
            <w:vAlign w:val="center"/>
          </w:tcPr>
          <w:p w:rsidR="00B90EE1" w:rsidRDefault="003A231F">
            <w:pPr>
              <w:spacing w:beforeLines="20" w:before="48" w:afterLines="20" w:after="48"/>
              <w:rPr>
                <w:noProof/>
                <w:sz w:val="18"/>
              </w:rPr>
            </w:pPr>
            <w:r>
              <w:rPr>
                <w:noProof/>
                <w:sz w:val="18"/>
              </w:rPr>
              <w:t>Záväzky</w:t>
            </w:r>
          </w:p>
        </w:tc>
        <w:tc>
          <w:tcPr>
            <w:tcW w:w="654" w:type="dxa"/>
            <w:vAlign w:val="center"/>
          </w:tcPr>
          <w:p w:rsidR="00B90EE1" w:rsidRDefault="003A231F">
            <w:pPr>
              <w:spacing w:beforeLines="20" w:before="48" w:afterLines="20" w:after="48"/>
              <w:jc w:val="center"/>
              <w:rPr>
                <w:noProof/>
                <w:sz w:val="14"/>
              </w:rPr>
            </w:pPr>
            <w:r>
              <w:rPr>
                <w:noProof/>
                <w:sz w:val="14"/>
              </w:rPr>
              <w:t>(4)</w:t>
            </w: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b/>
                <w:noProof/>
                <w:sz w:val="20"/>
              </w:rPr>
            </w:pPr>
          </w:p>
        </w:tc>
        <w:tc>
          <w:tcPr>
            <w:tcW w:w="1777" w:type="dxa"/>
            <w:vAlign w:val="center"/>
          </w:tcPr>
          <w:p w:rsidR="00B90EE1" w:rsidRDefault="00B90EE1">
            <w:pPr>
              <w:spacing w:before="20" w:after="20"/>
              <w:jc w:val="right"/>
              <w:rPr>
                <w:b/>
                <w:noProof/>
                <w:sz w:val="20"/>
              </w:rPr>
            </w:pPr>
          </w:p>
        </w:tc>
      </w:tr>
      <w:tr w:rsidR="00B90EE1">
        <w:tc>
          <w:tcPr>
            <w:tcW w:w="3960" w:type="dxa"/>
            <w:vMerge/>
          </w:tcPr>
          <w:p w:rsidR="00B90EE1" w:rsidRDefault="00B90EE1">
            <w:pPr>
              <w:jc w:val="center"/>
              <w:rPr>
                <w:noProof/>
                <w:sz w:val="20"/>
              </w:rPr>
            </w:pPr>
          </w:p>
        </w:tc>
        <w:tc>
          <w:tcPr>
            <w:tcW w:w="1440" w:type="dxa"/>
            <w:vAlign w:val="center"/>
          </w:tcPr>
          <w:p w:rsidR="00B90EE1" w:rsidRDefault="003A231F">
            <w:pPr>
              <w:spacing w:beforeLines="20" w:before="48" w:afterLines="20" w:after="48"/>
              <w:rPr>
                <w:noProof/>
                <w:sz w:val="18"/>
              </w:rPr>
            </w:pPr>
            <w:r>
              <w:rPr>
                <w:noProof/>
                <w:sz w:val="18"/>
              </w:rPr>
              <w:t>Platby</w:t>
            </w:r>
          </w:p>
        </w:tc>
        <w:tc>
          <w:tcPr>
            <w:tcW w:w="654" w:type="dxa"/>
            <w:vAlign w:val="center"/>
          </w:tcPr>
          <w:p w:rsidR="00B90EE1" w:rsidRDefault="003A231F">
            <w:pPr>
              <w:spacing w:beforeLines="20" w:before="48" w:afterLines="20" w:after="48"/>
              <w:jc w:val="center"/>
              <w:rPr>
                <w:noProof/>
                <w:sz w:val="14"/>
              </w:rPr>
            </w:pPr>
            <w:r>
              <w:rPr>
                <w:noProof/>
                <w:sz w:val="14"/>
              </w:rPr>
              <w:t>(5)</w:t>
            </w: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b/>
                <w:noProof/>
                <w:sz w:val="20"/>
              </w:rPr>
            </w:pPr>
          </w:p>
        </w:tc>
        <w:tc>
          <w:tcPr>
            <w:tcW w:w="1777" w:type="dxa"/>
            <w:vAlign w:val="center"/>
          </w:tcPr>
          <w:p w:rsidR="00B90EE1" w:rsidRDefault="00B90EE1">
            <w:pPr>
              <w:spacing w:before="20" w:after="20"/>
              <w:jc w:val="right"/>
              <w:rPr>
                <w:b/>
                <w:noProof/>
                <w:sz w:val="20"/>
              </w:rPr>
            </w:pPr>
          </w:p>
        </w:tc>
      </w:tr>
      <w:tr w:rsidR="00B90EE1">
        <w:trPr>
          <w:trHeight w:val="533"/>
        </w:trPr>
        <w:tc>
          <w:tcPr>
            <w:tcW w:w="5400" w:type="dxa"/>
            <w:gridSpan w:val="2"/>
            <w:vAlign w:val="center"/>
          </w:tcPr>
          <w:p w:rsidR="00B90EE1" w:rsidRDefault="003A231F">
            <w:pPr>
              <w:spacing w:beforeLines="20" w:before="48" w:afterLines="20" w:after="48"/>
              <w:rPr>
                <w:noProof/>
              </w:rPr>
            </w:pPr>
            <w:r>
              <w:rPr>
                <w:noProof/>
                <w:sz w:val="21"/>
              </w:rPr>
              <w:sym w:font="Wingdings" w:char="F09F"/>
            </w:r>
            <w:r>
              <w:rPr>
                <w:noProof/>
              </w:rPr>
              <w:t xml:space="preserve"> </w:t>
            </w:r>
            <w:r>
              <w:rPr>
                <w:noProof/>
                <w:sz w:val="21"/>
              </w:rPr>
              <w:t>Administratívne rozpočtové prostriedky</w:t>
            </w:r>
            <w:r>
              <w:rPr>
                <w:noProof/>
                <w:sz w:val="21"/>
              </w:rPr>
              <w:t xml:space="preserve"> financované z balíka prostriedkov určených na realizáciu osobitných programov SPOLU</w:t>
            </w:r>
          </w:p>
        </w:tc>
        <w:tc>
          <w:tcPr>
            <w:tcW w:w="654" w:type="dxa"/>
            <w:vAlign w:val="center"/>
          </w:tcPr>
          <w:p w:rsidR="00B90EE1" w:rsidRDefault="003A231F">
            <w:pPr>
              <w:spacing w:beforeLines="20" w:before="48" w:afterLines="20" w:after="48"/>
              <w:jc w:val="center"/>
              <w:rPr>
                <w:noProof/>
                <w:sz w:val="14"/>
              </w:rPr>
            </w:pPr>
            <w:r>
              <w:rPr>
                <w:noProof/>
                <w:sz w:val="14"/>
              </w:rPr>
              <w:t>(6)</w:t>
            </w: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1777" w:type="dxa"/>
            <w:vAlign w:val="center"/>
          </w:tcPr>
          <w:p w:rsidR="00B90EE1" w:rsidRDefault="00B90EE1">
            <w:pPr>
              <w:spacing w:before="20" w:after="20"/>
              <w:jc w:val="right"/>
              <w:rPr>
                <w:b/>
                <w:noProof/>
                <w:sz w:val="20"/>
              </w:rPr>
            </w:pPr>
          </w:p>
        </w:tc>
      </w:tr>
      <w:tr w:rsidR="00B90EE1">
        <w:tc>
          <w:tcPr>
            <w:tcW w:w="3960" w:type="dxa"/>
            <w:vMerge w:val="restart"/>
            <w:shd w:val="thinDiagStripe" w:color="C0C0C0" w:fill="auto"/>
            <w:vAlign w:val="center"/>
          </w:tcPr>
          <w:p w:rsidR="00B90EE1" w:rsidRDefault="003A231F">
            <w:pPr>
              <w:jc w:val="center"/>
              <w:rPr>
                <w:b/>
                <w:noProof/>
              </w:rPr>
            </w:pPr>
            <w:r>
              <w:rPr>
                <w:b/>
                <w:noProof/>
                <w:sz w:val="22"/>
              </w:rPr>
              <w:t>Rozpočtové prostriedky</w:t>
            </w:r>
            <w:r>
              <w:rPr>
                <w:noProof/>
                <w:sz w:val="22"/>
              </w:rPr>
              <w:br/>
            </w:r>
            <w:r>
              <w:rPr>
                <w:b/>
                <w:noProof/>
                <w:sz w:val="22"/>
              </w:rPr>
              <w:t>OKRUHU &lt;….&gt;</w:t>
            </w:r>
            <w:r>
              <w:rPr>
                <w:noProof/>
                <w:sz w:val="22"/>
              </w:rPr>
              <w:t xml:space="preserve"> viacročného finančného rámca </w:t>
            </w:r>
            <w:r>
              <w:rPr>
                <w:b/>
                <w:noProof/>
                <w:sz w:val="22"/>
              </w:rPr>
              <w:t>SPOLU</w:t>
            </w:r>
          </w:p>
        </w:tc>
        <w:tc>
          <w:tcPr>
            <w:tcW w:w="1440" w:type="dxa"/>
            <w:vAlign w:val="center"/>
          </w:tcPr>
          <w:p w:rsidR="00B90EE1" w:rsidRDefault="003A231F">
            <w:pPr>
              <w:rPr>
                <w:noProof/>
                <w:sz w:val="18"/>
              </w:rPr>
            </w:pPr>
            <w:r>
              <w:rPr>
                <w:noProof/>
                <w:sz w:val="18"/>
              </w:rPr>
              <w:t>Záväzky</w:t>
            </w:r>
          </w:p>
        </w:tc>
        <w:tc>
          <w:tcPr>
            <w:tcW w:w="654" w:type="dxa"/>
            <w:vAlign w:val="center"/>
          </w:tcPr>
          <w:p w:rsidR="00B90EE1" w:rsidRDefault="003A231F">
            <w:pPr>
              <w:jc w:val="center"/>
              <w:rPr>
                <w:noProof/>
                <w:sz w:val="14"/>
              </w:rPr>
            </w:pPr>
            <w:r>
              <w:rPr>
                <w:noProof/>
                <w:sz w:val="14"/>
              </w:rPr>
              <w:t>= 4 + 6</w:t>
            </w: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b/>
                <w:noProof/>
                <w:sz w:val="20"/>
              </w:rPr>
            </w:pPr>
          </w:p>
        </w:tc>
        <w:tc>
          <w:tcPr>
            <w:tcW w:w="1777" w:type="dxa"/>
            <w:vAlign w:val="center"/>
          </w:tcPr>
          <w:p w:rsidR="00B90EE1" w:rsidRDefault="00B90EE1">
            <w:pPr>
              <w:spacing w:before="20" w:after="20"/>
              <w:jc w:val="right"/>
              <w:rPr>
                <w:b/>
                <w:noProof/>
                <w:sz w:val="20"/>
              </w:rPr>
            </w:pPr>
          </w:p>
        </w:tc>
      </w:tr>
      <w:tr w:rsidR="00B90EE1">
        <w:tc>
          <w:tcPr>
            <w:tcW w:w="3960" w:type="dxa"/>
            <w:vMerge/>
            <w:shd w:val="thinDiagStripe" w:color="C0C0C0" w:fill="auto"/>
          </w:tcPr>
          <w:p w:rsidR="00B90EE1" w:rsidRDefault="00B90EE1">
            <w:pPr>
              <w:rPr>
                <w:noProof/>
                <w:sz w:val="20"/>
              </w:rPr>
            </w:pPr>
          </w:p>
        </w:tc>
        <w:tc>
          <w:tcPr>
            <w:tcW w:w="1440" w:type="dxa"/>
            <w:vAlign w:val="center"/>
          </w:tcPr>
          <w:p w:rsidR="00B90EE1" w:rsidRDefault="003A231F">
            <w:pPr>
              <w:rPr>
                <w:noProof/>
                <w:sz w:val="18"/>
              </w:rPr>
            </w:pPr>
            <w:r>
              <w:rPr>
                <w:noProof/>
                <w:sz w:val="18"/>
              </w:rPr>
              <w:t>Platby</w:t>
            </w:r>
          </w:p>
        </w:tc>
        <w:tc>
          <w:tcPr>
            <w:tcW w:w="654" w:type="dxa"/>
            <w:vAlign w:val="center"/>
          </w:tcPr>
          <w:p w:rsidR="00B90EE1" w:rsidRDefault="003A231F">
            <w:pPr>
              <w:jc w:val="center"/>
              <w:rPr>
                <w:noProof/>
                <w:sz w:val="14"/>
              </w:rPr>
            </w:pPr>
            <w:r>
              <w:rPr>
                <w:noProof/>
                <w:sz w:val="14"/>
              </w:rPr>
              <w:t>= 5 + 6</w:t>
            </w: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b/>
                <w:noProof/>
                <w:sz w:val="20"/>
              </w:rPr>
            </w:pPr>
          </w:p>
        </w:tc>
        <w:tc>
          <w:tcPr>
            <w:tcW w:w="1777" w:type="dxa"/>
            <w:vAlign w:val="center"/>
          </w:tcPr>
          <w:p w:rsidR="00B90EE1" w:rsidRDefault="00B90EE1">
            <w:pPr>
              <w:spacing w:before="20" w:after="20"/>
              <w:jc w:val="right"/>
              <w:rPr>
                <w:b/>
                <w:noProof/>
                <w:sz w:val="20"/>
              </w:rPr>
            </w:pPr>
          </w:p>
        </w:tc>
      </w:tr>
    </w:tbl>
    <w:p w:rsidR="00B90EE1" w:rsidRDefault="003A231F">
      <w:pPr>
        <w:spacing w:after="40"/>
        <w:rPr>
          <w:b/>
          <w:noProof/>
          <w:sz w:val="22"/>
          <w:u w:val="single"/>
        </w:rPr>
      </w:pPr>
      <w:r>
        <w:rPr>
          <w:b/>
          <w:noProof/>
          <w:sz w:val="22"/>
          <w:u w:val="single"/>
        </w:rPr>
        <w:t xml:space="preserve">Ak má návrh/iniciatíva vplyv na </w:t>
      </w:r>
      <w:r>
        <w:rPr>
          <w:b/>
          <w:noProof/>
          <w:sz w:val="22"/>
          <w:u w:val="single"/>
        </w:rPr>
        <w:t>viaceré okruhy:</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B90EE1">
        <w:trPr>
          <w:trHeight w:val="277"/>
        </w:trPr>
        <w:tc>
          <w:tcPr>
            <w:tcW w:w="3960" w:type="dxa"/>
            <w:vMerge w:val="restart"/>
            <w:tcBorders>
              <w:top w:val="single" w:sz="4" w:space="0" w:color="FF0000"/>
              <w:left w:val="single" w:sz="4" w:space="0" w:color="auto"/>
              <w:bottom w:val="single" w:sz="4" w:space="0" w:color="FF0000"/>
            </w:tcBorders>
            <w:vAlign w:val="center"/>
          </w:tcPr>
          <w:p w:rsidR="00B90EE1" w:rsidRDefault="003A231F">
            <w:pPr>
              <w:spacing w:before="20" w:after="20"/>
              <w:rPr>
                <w:noProof/>
              </w:rPr>
            </w:pPr>
            <w:r>
              <w:rPr>
                <w:noProof/>
                <w:sz w:val="21"/>
              </w:rPr>
              <w:sym w:font="Wingdings" w:char="F09F"/>
            </w:r>
            <w:r>
              <w:rPr>
                <w:noProof/>
              </w:rPr>
              <w:t xml:space="preserve"> </w:t>
            </w:r>
            <w:r>
              <w:rPr>
                <w:noProof/>
                <w:sz w:val="21"/>
              </w:rPr>
              <w:t>Operačné rozpočtové prostriedky SPOLU</w:t>
            </w:r>
          </w:p>
        </w:tc>
        <w:tc>
          <w:tcPr>
            <w:tcW w:w="1440" w:type="dxa"/>
            <w:tcBorders>
              <w:top w:val="single" w:sz="4" w:space="0" w:color="FF0000"/>
            </w:tcBorders>
            <w:vAlign w:val="center"/>
          </w:tcPr>
          <w:p w:rsidR="00B90EE1" w:rsidRDefault="003A231F">
            <w:pPr>
              <w:spacing w:beforeLines="20" w:before="48" w:afterLines="20" w:after="48"/>
              <w:rPr>
                <w:noProof/>
                <w:sz w:val="18"/>
              </w:rPr>
            </w:pPr>
            <w:r>
              <w:rPr>
                <w:noProof/>
                <w:sz w:val="18"/>
              </w:rPr>
              <w:t>Záväzky</w:t>
            </w:r>
          </w:p>
        </w:tc>
        <w:tc>
          <w:tcPr>
            <w:tcW w:w="654" w:type="dxa"/>
            <w:tcBorders>
              <w:top w:val="single" w:sz="4" w:space="0" w:color="FF0000"/>
            </w:tcBorders>
            <w:vAlign w:val="center"/>
          </w:tcPr>
          <w:p w:rsidR="00B90EE1" w:rsidRDefault="003A231F">
            <w:pPr>
              <w:spacing w:beforeLines="20" w:before="48" w:afterLines="20" w:after="48"/>
              <w:jc w:val="center"/>
              <w:rPr>
                <w:noProof/>
                <w:sz w:val="14"/>
              </w:rPr>
            </w:pPr>
            <w:r>
              <w:rPr>
                <w:noProof/>
                <w:sz w:val="14"/>
              </w:rPr>
              <w:t>(4)</w:t>
            </w:r>
          </w:p>
        </w:tc>
        <w:tc>
          <w:tcPr>
            <w:tcW w:w="868" w:type="dxa"/>
            <w:tcBorders>
              <w:top w:val="single" w:sz="4" w:space="0" w:color="FF0000"/>
            </w:tcBorders>
            <w:vAlign w:val="center"/>
          </w:tcPr>
          <w:p w:rsidR="00B90EE1" w:rsidRDefault="00B90EE1">
            <w:pPr>
              <w:spacing w:before="20" w:after="20"/>
              <w:jc w:val="right"/>
              <w:rPr>
                <w:noProof/>
                <w:sz w:val="20"/>
              </w:rPr>
            </w:pPr>
          </w:p>
        </w:tc>
        <w:tc>
          <w:tcPr>
            <w:tcW w:w="868" w:type="dxa"/>
            <w:tcBorders>
              <w:top w:val="single" w:sz="4" w:space="0" w:color="FF0000"/>
            </w:tcBorders>
            <w:vAlign w:val="center"/>
          </w:tcPr>
          <w:p w:rsidR="00B90EE1" w:rsidRDefault="00B90EE1">
            <w:pPr>
              <w:spacing w:before="20" w:after="20"/>
              <w:jc w:val="right"/>
              <w:rPr>
                <w:noProof/>
                <w:sz w:val="20"/>
              </w:rPr>
            </w:pPr>
          </w:p>
        </w:tc>
        <w:tc>
          <w:tcPr>
            <w:tcW w:w="868" w:type="dxa"/>
            <w:tcBorders>
              <w:top w:val="single" w:sz="4" w:space="0" w:color="FF0000"/>
            </w:tcBorders>
            <w:vAlign w:val="center"/>
          </w:tcPr>
          <w:p w:rsidR="00B90EE1" w:rsidRDefault="00B90EE1">
            <w:pPr>
              <w:spacing w:before="20" w:after="20"/>
              <w:jc w:val="right"/>
              <w:rPr>
                <w:noProof/>
                <w:sz w:val="20"/>
              </w:rPr>
            </w:pPr>
          </w:p>
        </w:tc>
        <w:tc>
          <w:tcPr>
            <w:tcW w:w="868" w:type="dxa"/>
            <w:tcBorders>
              <w:top w:val="single" w:sz="4" w:space="0" w:color="FF0000"/>
            </w:tcBorders>
            <w:vAlign w:val="center"/>
          </w:tcPr>
          <w:p w:rsidR="00B90EE1" w:rsidRDefault="00B90EE1">
            <w:pPr>
              <w:spacing w:before="20" w:after="20"/>
              <w:jc w:val="right"/>
              <w:rPr>
                <w:noProof/>
                <w:sz w:val="20"/>
              </w:rPr>
            </w:pPr>
          </w:p>
        </w:tc>
        <w:tc>
          <w:tcPr>
            <w:tcW w:w="868" w:type="dxa"/>
            <w:tcBorders>
              <w:top w:val="single" w:sz="4" w:space="0" w:color="FF0000"/>
            </w:tcBorders>
            <w:vAlign w:val="center"/>
          </w:tcPr>
          <w:p w:rsidR="00B90EE1" w:rsidRDefault="00B90EE1">
            <w:pPr>
              <w:spacing w:before="20" w:after="20"/>
              <w:jc w:val="right"/>
              <w:rPr>
                <w:noProof/>
                <w:sz w:val="20"/>
              </w:rPr>
            </w:pPr>
          </w:p>
        </w:tc>
        <w:tc>
          <w:tcPr>
            <w:tcW w:w="868" w:type="dxa"/>
            <w:tcBorders>
              <w:top w:val="single" w:sz="4" w:space="0" w:color="FF0000"/>
            </w:tcBorders>
            <w:vAlign w:val="center"/>
          </w:tcPr>
          <w:p w:rsidR="00B90EE1" w:rsidRDefault="00B90EE1">
            <w:pPr>
              <w:spacing w:before="20" w:after="20"/>
              <w:jc w:val="right"/>
              <w:rPr>
                <w:noProof/>
                <w:sz w:val="20"/>
              </w:rPr>
            </w:pPr>
          </w:p>
        </w:tc>
        <w:tc>
          <w:tcPr>
            <w:tcW w:w="868" w:type="dxa"/>
            <w:tcBorders>
              <w:top w:val="single" w:sz="4" w:space="0" w:color="FF0000"/>
            </w:tcBorders>
            <w:vAlign w:val="center"/>
          </w:tcPr>
          <w:p w:rsidR="00B90EE1" w:rsidRDefault="00B90EE1">
            <w:pPr>
              <w:spacing w:before="20" w:after="20"/>
              <w:jc w:val="right"/>
              <w:rPr>
                <w:b/>
                <w:noProof/>
                <w:sz w:val="20"/>
              </w:rPr>
            </w:pPr>
          </w:p>
        </w:tc>
        <w:tc>
          <w:tcPr>
            <w:tcW w:w="1777" w:type="dxa"/>
            <w:tcBorders>
              <w:top w:val="single" w:sz="4" w:space="0" w:color="FF0000"/>
              <w:right w:val="single" w:sz="4" w:space="0" w:color="auto"/>
            </w:tcBorders>
            <w:vAlign w:val="center"/>
          </w:tcPr>
          <w:p w:rsidR="00B90EE1" w:rsidRDefault="00B90EE1">
            <w:pPr>
              <w:spacing w:before="20" w:after="20"/>
              <w:jc w:val="right"/>
              <w:rPr>
                <w:b/>
                <w:noProof/>
                <w:sz w:val="20"/>
              </w:rPr>
            </w:pPr>
          </w:p>
        </w:tc>
      </w:tr>
      <w:tr w:rsidR="00B90EE1">
        <w:tc>
          <w:tcPr>
            <w:tcW w:w="3960" w:type="dxa"/>
            <w:vMerge/>
            <w:tcBorders>
              <w:top w:val="single" w:sz="4" w:space="0" w:color="FF0000"/>
              <w:left w:val="single" w:sz="4" w:space="0" w:color="auto"/>
              <w:bottom w:val="single" w:sz="4" w:space="0" w:color="FF0000"/>
            </w:tcBorders>
          </w:tcPr>
          <w:p w:rsidR="00B90EE1" w:rsidRDefault="00B90EE1">
            <w:pPr>
              <w:jc w:val="center"/>
              <w:rPr>
                <w:noProof/>
                <w:sz w:val="20"/>
              </w:rPr>
            </w:pPr>
          </w:p>
        </w:tc>
        <w:tc>
          <w:tcPr>
            <w:tcW w:w="1440" w:type="dxa"/>
            <w:vAlign w:val="center"/>
          </w:tcPr>
          <w:p w:rsidR="00B90EE1" w:rsidRDefault="003A231F">
            <w:pPr>
              <w:spacing w:beforeLines="20" w:before="48" w:afterLines="20" w:after="48"/>
              <w:rPr>
                <w:noProof/>
                <w:sz w:val="18"/>
              </w:rPr>
            </w:pPr>
            <w:r>
              <w:rPr>
                <w:noProof/>
                <w:sz w:val="18"/>
              </w:rPr>
              <w:t>Platby</w:t>
            </w:r>
          </w:p>
        </w:tc>
        <w:tc>
          <w:tcPr>
            <w:tcW w:w="654" w:type="dxa"/>
            <w:vAlign w:val="center"/>
          </w:tcPr>
          <w:p w:rsidR="00B90EE1" w:rsidRDefault="003A231F">
            <w:pPr>
              <w:spacing w:beforeLines="20" w:before="48" w:afterLines="20" w:after="48"/>
              <w:jc w:val="center"/>
              <w:rPr>
                <w:noProof/>
                <w:sz w:val="14"/>
              </w:rPr>
            </w:pPr>
            <w:r>
              <w:rPr>
                <w:noProof/>
                <w:sz w:val="14"/>
              </w:rPr>
              <w:t>(5)</w:t>
            </w: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b/>
                <w:noProof/>
                <w:sz w:val="20"/>
              </w:rPr>
            </w:pPr>
          </w:p>
        </w:tc>
        <w:tc>
          <w:tcPr>
            <w:tcW w:w="1777" w:type="dxa"/>
            <w:tcBorders>
              <w:right w:val="single" w:sz="4" w:space="0" w:color="auto"/>
            </w:tcBorders>
            <w:vAlign w:val="center"/>
          </w:tcPr>
          <w:p w:rsidR="00B90EE1" w:rsidRDefault="00B90EE1">
            <w:pPr>
              <w:spacing w:before="20" w:after="20"/>
              <w:jc w:val="right"/>
              <w:rPr>
                <w:b/>
                <w:noProof/>
                <w:sz w:val="20"/>
              </w:rPr>
            </w:pPr>
          </w:p>
        </w:tc>
      </w:tr>
      <w:tr w:rsidR="00B90EE1">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rsidR="00B90EE1" w:rsidRDefault="003A231F">
            <w:pPr>
              <w:spacing w:beforeLines="20" w:before="48" w:afterLines="20" w:after="48"/>
              <w:rPr>
                <w:noProof/>
              </w:rPr>
            </w:pPr>
            <w:r>
              <w:rPr>
                <w:noProof/>
                <w:sz w:val="21"/>
              </w:rPr>
              <w:sym w:font="Wingdings" w:char="F09F"/>
            </w:r>
            <w:r>
              <w:rPr>
                <w:noProof/>
              </w:rPr>
              <w:t xml:space="preserve"> </w:t>
            </w:r>
            <w:r>
              <w:rPr>
                <w:noProof/>
                <w:sz w:val="21"/>
              </w:rPr>
              <w:t>Administratívne rozpočtové prostriedky financované z balíka prostriedkov určených na realizáciu osobitných programov SPOLU</w:t>
            </w:r>
          </w:p>
        </w:tc>
        <w:tc>
          <w:tcPr>
            <w:tcW w:w="654" w:type="dxa"/>
            <w:vAlign w:val="center"/>
          </w:tcPr>
          <w:p w:rsidR="00B90EE1" w:rsidRDefault="003A231F">
            <w:pPr>
              <w:spacing w:beforeLines="20" w:before="48" w:afterLines="20" w:after="48"/>
              <w:jc w:val="center"/>
              <w:rPr>
                <w:noProof/>
                <w:sz w:val="14"/>
              </w:rPr>
            </w:pPr>
            <w:r>
              <w:rPr>
                <w:noProof/>
                <w:sz w:val="14"/>
              </w:rPr>
              <w:t>(6)</w:t>
            </w: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1777" w:type="dxa"/>
            <w:vAlign w:val="center"/>
          </w:tcPr>
          <w:p w:rsidR="00B90EE1" w:rsidRDefault="00B90EE1">
            <w:pPr>
              <w:spacing w:before="20" w:after="20"/>
              <w:jc w:val="right"/>
              <w:rPr>
                <w:b/>
                <w:noProof/>
                <w:sz w:val="20"/>
              </w:rPr>
            </w:pPr>
          </w:p>
        </w:tc>
      </w:tr>
      <w:tr w:rsidR="00B90EE1">
        <w:tc>
          <w:tcPr>
            <w:tcW w:w="3960" w:type="dxa"/>
            <w:vMerge w:val="restart"/>
            <w:tcBorders>
              <w:top w:val="single" w:sz="4" w:space="0" w:color="FF0000"/>
              <w:left w:val="single" w:sz="4" w:space="0" w:color="auto"/>
              <w:bottom w:val="single" w:sz="4" w:space="0" w:color="FF0000"/>
            </w:tcBorders>
            <w:shd w:val="thinDiagStripe" w:color="C0C0C0" w:fill="auto"/>
            <w:vAlign w:val="center"/>
          </w:tcPr>
          <w:p w:rsidR="00B90EE1" w:rsidRDefault="003A231F">
            <w:pPr>
              <w:jc w:val="center"/>
              <w:rPr>
                <w:b/>
                <w:noProof/>
              </w:rPr>
            </w:pPr>
            <w:r>
              <w:rPr>
                <w:b/>
                <w:noProof/>
                <w:sz w:val="22"/>
              </w:rPr>
              <w:t xml:space="preserve">Rozpočtové </w:t>
            </w:r>
            <w:r>
              <w:rPr>
                <w:b/>
                <w:noProof/>
                <w:sz w:val="22"/>
              </w:rPr>
              <w:t>prostriedky</w:t>
            </w:r>
            <w:r>
              <w:rPr>
                <w:noProof/>
                <w:sz w:val="22"/>
              </w:rPr>
              <w:br/>
            </w:r>
            <w:r>
              <w:rPr>
                <w:b/>
                <w:noProof/>
                <w:sz w:val="22"/>
              </w:rPr>
              <w:t>OKRUHOV 1 až 4</w:t>
            </w:r>
            <w:r>
              <w:rPr>
                <w:noProof/>
                <w:sz w:val="22"/>
              </w:rPr>
              <w:br/>
              <w:t>viacročného finančného rámca</w:t>
            </w:r>
            <w:r>
              <w:rPr>
                <w:b/>
                <w:noProof/>
                <w:sz w:val="22"/>
              </w:rPr>
              <w:t xml:space="preserve"> SPOLU</w:t>
            </w:r>
            <w:r>
              <w:rPr>
                <w:noProof/>
                <w:sz w:val="22"/>
              </w:rPr>
              <w:br/>
            </w:r>
            <w:r>
              <w:rPr>
                <w:noProof/>
                <w:sz w:val="20"/>
              </w:rPr>
              <w:t>(referenčná suma)</w:t>
            </w:r>
          </w:p>
        </w:tc>
        <w:tc>
          <w:tcPr>
            <w:tcW w:w="1440" w:type="dxa"/>
            <w:vAlign w:val="center"/>
          </w:tcPr>
          <w:p w:rsidR="00B90EE1" w:rsidRDefault="003A231F">
            <w:pPr>
              <w:rPr>
                <w:noProof/>
                <w:sz w:val="18"/>
              </w:rPr>
            </w:pPr>
            <w:r>
              <w:rPr>
                <w:noProof/>
                <w:sz w:val="18"/>
              </w:rPr>
              <w:t>Záväzky</w:t>
            </w:r>
          </w:p>
        </w:tc>
        <w:tc>
          <w:tcPr>
            <w:tcW w:w="654" w:type="dxa"/>
            <w:vAlign w:val="center"/>
          </w:tcPr>
          <w:p w:rsidR="00B90EE1" w:rsidRDefault="003A231F">
            <w:pPr>
              <w:jc w:val="center"/>
              <w:rPr>
                <w:noProof/>
                <w:sz w:val="14"/>
              </w:rPr>
            </w:pPr>
            <w:r>
              <w:rPr>
                <w:noProof/>
                <w:sz w:val="14"/>
              </w:rPr>
              <w:t>= 4 + 6</w:t>
            </w: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b/>
                <w:noProof/>
                <w:sz w:val="20"/>
              </w:rPr>
            </w:pPr>
          </w:p>
        </w:tc>
        <w:tc>
          <w:tcPr>
            <w:tcW w:w="1777" w:type="dxa"/>
            <w:tcBorders>
              <w:right w:val="single" w:sz="4" w:space="0" w:color="auto"/>
            </w:tcBorders>
            <w:vAlign w:val="center"/>
          </w:tcPr>
          <w:p w:rsidR="00B90EE1" w:rsidRDefault="00B90EE1">
            <w:pPr>
              <w:spacing w:before="20" w:after="20"/>
              <w:jc w:val="right"/>
              <w:rPr>
                <w:b/>
                <w:noProof/>
                <w:sz w:val="20"/>
              </w:rPr>
            </w:pPr>
          </w:p>
        </w:tc>
      </w:tr>
      <w:tr w:rsidR="00B90EE1">
        <w:tc>
          <w:tcPr>
            <w:tcW w:w="3960" w:type="dxa"/>
            <w:vMerge/>
            <w:tcBorders>
              <w:top w:val="single" w:sz="4" w:space="0" w:color="FF0000"/>
              <w:left w:val="single" w:sz="4" w:space="0" w:color="auto"/>
              <w:bottom w:val="single" w:sz="4" w:space="0" w:color="FF0000"/>
            </w:tcBorders>
            <w:shd w:val="thinDiagStripe" w:color="C0C0C0" w:fill="auto"/>
          </w:tcPr>
          <w:p w:rsidR="00B90EE1" w:rsidRDefault="00B90EE1">
            <w:pPr>
              <w:rPr>
                <w:noProof/>
                <w:sz w:val="20"/>
              </w:rPr>
            </w:pPr>
          </w:p>
        </w:tc>
        <w:tc>
          <w:tcPr>
            <w:tcW w:w="1440" w:type="dxa"/>
            <w:tcBorders>
              <w:bottom w:val="single" w:sz="4" w:space="0" w:color="FF0000"/>
            </w:tcBorders>
            <w:vAlign w:val="center"/>
          </w:tcPr>
          <w:p w:rsidR="00B90EE1" w:rsidRDefault="003A231F">
            <w:pPr>
              <w:rPr>
                <w:noProof/>
                <w:sz w:val="18"/>
              </w:rPr>
            </w:pPr>
            <w:r>
              <w:rPr>
                <w:noProof/>
                <w:sz w:val="18"/>
              </w:rPr>
              <w:t>Platby</w:t>
            </w:r>
          </w:p>
        </w:tc>
        <w:tc>
          <w:tcPr>
            <w:tcW w:w="654" w:type="dxa"/>
            <w:tcBorders>
              <w:bottom w:val="single" w:sz="4" w:space="0" w:color="FF0000"/>
            </w:tcBorders>
            <w:vAlign w:val="center"/>
          </w:tcPr>
          <w:p w:rsidR="00B90EE1" w:rsidRDefault="003A231F">
            <w:pPr>
              <w:jc w:val="center"/>
              <w:rPr>
                <w:noProof/>
                <w:sz w:val="14"/>
              </w:rPr>
            </w:pPr>
            <w:r>
              <w:rPr>
                <w:noProof/>
                <w:sz w:val="14"/>
              </w:rPr>
              <w:t>= 5 + 6</w:t>
            </w:r>
          </w:p>
        </w:tc>
        <w:tc>
          <w:tcPr>
            <w:tcW w:w="868" w:type="dxa"/>
            <w:tcBorders>
              <w:bottom w:val="single" w:sz="4" w:space="0" w:color="FF0000"/>
            </w:tcBorders>
            <w:vAlign w:val="center"/>
          </w:tcPr>
          <w:p w:rsidR="00B90EE1" w:rsidRDefault="00B90EE1">
            <w:pPr>
              <w:spacing w:before="20" w:after="20"/>
              <w:jc w:val="right"/>
              <w:rPr>
                <w:noProof/>
                <w:sz w:val="20"/>
              </w:rPr>
            </w:pPr>
          </w:p>
        </w:tc>
        <w:tc>
          <w:tcPr>
            <w:tcW w:w="868" w:type="dxa"/>
            <w:tcBorders>
              <w:bottom w:val="single" w:sz="4" w:space="0" w:color="FF0000"/>
            </w:tcBorders>
            <w:vAlign w:val="center"/>
          </w:tcPr>
          <w:p w:rsidR="00B90EE1" w:rsidRDefault="00B90EE1">
            <w:pPr>
              <w:spacing w:before="20" w:after="20"/>
              <w:jc w:val="right"/>
              <w:rPr>
                <w:noProof/>
                <w:sz w:val="20"/>
              </w:rPr>
            </w:pPr>
          </w:p>
        </w:tc>
        <w:tc>
          <w:tcPr>
            <w:tcW w:w="868" w:type="dxa"/>
            <w:tcBorders>
              <w:bottom w:val="single" w:sz="4" w:space="0" w:color="FF0000"/>
            </w:tcBorders>
            <w:vAlign w:val="center"/>
          </w:tcPr>
          <w:p w:rsidR="00B90EE1" w:rsidRDefault="00B90EE1">
            <w:pPr>
              <w:spacing w:before="20" w:after="20"/>
              <w:jc w:val="right"/>
              <w:rPr>
                <w:noProof/>
                <w:sz w:val="20"/>
              </w:rPr>
            </w:pPr>
          </w:p>
        </w:tc>
        <w:tc>
          <w:tcPr>
            <w:tcW w:w="868" w:type="dxa"/>
            <w:tcBorders>
              <w:bottom w:val="single" w:sz="4" w:space="0" w:color="FF0000"/>
            </w:tcBorders>
            <w:vAlign w:val="center"/>
          </w:tcPr>
          <w:p w:rsidR="00B90EE1" w:rsidRDefault="00B90EE1">
            <w:pPr>
              <w:spacing w:before="20" w:after="20"/>
              <w:jc w:val="right"/>
              <w:rPr>
                <w:noProof/>
                <w:sz w:val="20"/>
              </w:rPr>
            </w:pPr>
          </w:p>
        </w:tc>
        <w:tc>
          <w:tcPr>
            <w:tcW w:w="868" w:type="dxa"/>
            <w:tcBorders>
              <w:bottom w:val="single" w:sz="4" w:space="0" w:color="FF0000"/>
            </w:tcBorders>
            <w:vAlign w:val="center"/>
          </w:tcPr>
          <w:p w:rsidR="00B90EE1" w:rsidRDefault="00B90EE1">
            <w:pPr>
              <w:spacing w:before="20" w:after="20"/>
              <w:jc w:val="right"/>
              <w:rPr>
                <w:noProof/>
                <w:sz w:val="20"/>
              </w:rPr>
            </w:pPr>
          </w:p>
        </w:tc>
        <w:tc>
          <w:tcPr>
            <w:tcW w:w="868" w:type="dxa"/>
            <w:tcBorders>
              <w:bottom w:val="single" w:sz="4" w:space="0" w:color="FF0000"/>
            </w:tcBorders>
            <w:vAlign w:val="center"/>
          </w:tcPr>
          <w:p w:rsidR="00B90EE1" w:rsidRDefault="00B90EE1">
            <w:pPr>
              <w:spacing w:before="20" w:after="20"/>
              <w:jc w:val="right"/>
              <w:rPr>
                <w:noProof/>
                <w:sz w:val="20"/>
              </w:rPr>
            </w:pPr>
          </w:p>
        </w:tc>
        <w:tc>
          <w:tcPr>
            <w:tcW w:w="868" w:type="dxa"/>
            <w:tcBorders>
              <w:bottom w:val="single" w:sz="4" w:space="0" w:color="FF0000"/>
            </w:tcBorders>
            <w:vAlign w:val="center"/>
          </w:tcPr>
          <w:p w:rsidR="00B90EE1" w:rsidRDefault="00B90EE1">
            <w:pPr>
              <w:spacing w:before="20" w:after="20"/>
              <w:jc w:val="right"/>
              <w:rPr>
                <w:b/>
                <w:noProof/>
                <w:sz w:val="20"/>
              </w:rPr>
            </w:pPr>
          </w:p>
        </w:tc>
        <w:tc>
          <w:tcPr>
            <w:tcW w:w="1777" w:type="dxa"/>
            <w:tcBorders>
              <w:bottom w:val="single" w:sz="4" w:space="0" w:color="FF0000"/>
              <w:right w:val="single" w:sz="4" w:space="0" w:color="auto"/>
            </w:tcBorders>
            <w:vAlign w:val="center"/>
          </w:tcPr>
          <w:p w:rsidR="00B90EE1" w:rsidRDefault="00B90EE1">
            <w:pPr>
              <w:spacing w:before="20" w:after="20"/>
              <w:jc w:val="right"/>
              <w:rPr>
                <w:b/>
                <w:noProof/>
                <w:sz w:val="20"/>
              </w:rPr>
            </w:pPr>
          </w:p>
        </w:tc>
      </w:tr>
    </w:tbl>
    <w:p w:rsidR="00B90EE1" w:rsidRDefault="00B90EE1">
      <w:pPr>
        <w:rPr>
          <w:noProof/>
        </w:rPr>
      </w:pPr>
    </w:p>
    <w:p w:rsidR="00B90EE1" w:rsidRDefault="003A231F">
      <w:pPr>
        <w:rPr>
          <w:noProof/>
        </w:rPr>
      </w:pPr>
      <w:r>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B90EE1">
        <w:trPr>
          <w:jc w:val="center"/>
        </w:trPr>
        <w:tc>
          <w:tcPr>
            <w:tcW w:w="4744" w:type="dxa"/>
            <w:shd w:val="thinDiagStripe" w:color="C0C0C0" w:fill="auto"/>
            <w:vAlign w:val="center"/>
          </w:tcPr>
          <w:p w:rsidR="00B90EE1" w:rsidRDefault="003A231F">
            <w:pPr>
              <w:spacing w:before="60" w:after="60"/>
              <w:jc w:val="center"/>
              <w:rPr>
                <w:b/>
                <w:noProof/>
              </w:rPr>
            </w:pPr>
            <w:r>
              <w:rPr>
                <w:noProof/>
              </w:rPr>
              <w:lastRenderedPageBreak/>
              <w:br w:type="page"/>
            </w:r>
            <w:r>
              <w:rPr>
                <w:b/>
                <w:noProof/>
                <w:sz w:val="22"/>
              </w:rPr>
              <w:t xml:space="preserve">Okruh viacročného finančného </w:t>
            </w:r>
            <w:r>
              <w:rPr>
                <w:noProof/>
                <w:sz w:val="22"/>
              </w:rPr>
              <w:br/>
            </w:r>
            <w:r>
              <w:rPr>
                <w:b/>
                <w:noProof/>
                <w:sz w:val="22"/>
              </w:rPr>
              <w:t xml:space="preserve">rámca </w:t>
            </w:r>
          </w:p>
        </w:tc>
        <w:tc>
          <w:tcPr>
            <w:tcW w:w="1080" w:type="dxa"/>
            <w:shd w:val="thinDiagStripe" w:color="C0C0C0" w:fill="auto"/>
            <w:vAlign w:val="center"/>
          </w:tcPr>
          <w:p w:rsidR="00B90EE1" w:rsidRDefault="003A231F">
            <w:pPr>
              <w:spacing w:before="60" w:after="60"/>
              <w:jc w:val="center"/>
              <w:rPr>
                <w:noProof/>
              </w:rPr>
            </w:pPr>
            <w:r>
              <w:rPr>
                <w:b/>
                <w:noProof/>
                <w:sz w:val="22"/>
              </w:rPr>
              <w:t>5</w:t>
            </w:r>
          </w:p>
        </w:tc>
        <w:tc>
          <w:tcPr>
            <w:tcW w:w="7817" w:type="dxa"/>
            <w:vAlign w:val="center"/>
          </w:tcPr>
          <w:p w:rsidR="00B90EE1" w:rsidRDefault="003A231F">
            <w:pPr>
              <w:spacing w:before="60" w:after="60"/>
              <w:rPr>
                <w:noProof/>
              </w:rPr>
            </w:pPr>
            <w:r>
              <w:rPr>
                <w:noProof/>
                <w:sz w:val="22"/>
              </w:rPr>
              <w:t>„Administratívne výdavky“</w:t>
            </w:r>
          </w:p>
        </w:tc>
      </w:tr>
    </w:tbl>
    <w:p w:rsidR="00B90EE1" w:rsidRDefault="003A231F">
      <w:pPr>
        <w:jc w:val="right"/>
        <w:rPr>
          <w:noProof/>
          <w:sz w:val="20"/>
        </w:rPr>
      </w:pPr>
      <w:r>
        <w:rPr>
          <w:noProof/>
          <w:sz w:val="20"/>
        </w:rPr>
        <w:t>v mil. EUR (zaokrúhlené na 3 desatinné miesta)</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B90EE1">
        <w:tc>
          <w:tcPr>
            <w:tcW w:w="3960" w:type="dxa"/>
            <w:tcBorders>
              <w:top w:val="nil"/>
              <w:left w:val="nil"/>
              <w:right w:val="nil"/>
            </w:tcBorders>
            <w:vAlign w:val="center"/>
          </w:tcPr>
          <w:p w:rsidR="00B90EE1" w:rsidRDefault="00B90EE1">
            <w:pPr>
              <w:jc w:val="center"/>
              <w:rPr>
                <w:noProof/>
              </w:rPr>
            </w:pPr>
          </w:p>
        </w:tc>
        <w:tc>
          <w:tcPr>
            <w:tcW w:w="1560" w:type="dxa"/>
            <w:tcBorders>
              <w:top w:val="nil"/>
              <w:left w:val="nil"/>
              <w:right w:val="nil"/>
            </w:tcBorders>
          </w:tcPr>
          <w:p w:rsidR="00B90EE1" w:rsidRDefault="00B90EE1">
            <w:pPr>
              <w:rPr>
                <w:noProof/>
                <w:sz w:val="20"/>
              </w:rPr>
            </w:pPr>
          </w:p>
        </w:tc>
        <w:tc>
          <w:tcPr>
            <w:tcW w:w="534" w:type="dxa"/>
            <w:tcBorders>
              <w:top w:val="nil"/>
              <w:left w:val="nil"/>
            </w:tcBorders>
          </w:tcPr>
          <w:p w:rsidR="00B90EE1" w:rsidRDefault="00B90EE1">
            <w:pPr>
              <w:jc w:val="center"/>
              <w:rPr>
                <w:noProof/>
                <w:sz w:val="20"/>
              </w:rPr>
            </w:pP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w:t>
            </w: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 + 1</w:t>
            </w: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 + 2</w:t>
            </w: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 + 3</w:t>
            </w:r>
          </w:p>
        </w:tc>
        <w:tc>
          <w:tcPr>
            <w:tcW w:w="2604" w:type="dxa"/>
            <w:gridSpan w:val="3"/>
            <w:vAlign w:val="center"/>
          </w:tcPr>
          <w:p w:rsidR="00B90EE1" w:rsidRDefault="003A231F">
            <w:pPr>
              <w:jc w:val="center"/>
              <w:rPr>
                <w:b/>
                <w:noProof/>
                <w:sz w:val="18"/>
              </w:rPr>
            </w:pPr>
            <w:r>
              <w:rPr>
                <w:noProof/>
                <w:sz w:val="18"/>
              </w:rPr>
              <w:t xml:space="preserve">Uveďte všetky roky, počas ktorých vplyv trvá (pozri bod 1.6) </w:t>
            </w:r>
          </w:p>
        </w:tc>
        <w:tc>
          <w:tcPr>
            <w:tcW w:w="1777" w:type="dxa"/>
            <w:vAlign w:val="center"/>
          </w:tcPr>
          <w:p w:rsidR="00B90EE1" w:rsidRDefault="003A231F">
            <w:pPr>
              <w:jc w:val="center"/>
              <w:rPr>
                <w:b/>
                <w:noProof/>
                <w:sz w:val="20"/>
              </w:rPr>
            </w:pPr>
            <w:r>
              <w:rPr>
                <w:b/>
                <w:noProof/>
                <w:sz w:val="20"/>
              </w:rPr>
              <w:t>SPOLU</w:t>
            </w:r>
          </w:p>
        </w:tc>
      </w:tr>
      <w:tr w:rsidR="00B90EE1">
        <w:trPr>
          <w:gridAfter w:val="10"/>
          <w:wAfter w:w="9947" w:type="dxa"/>
        </w:trPr>
        <w:tc>
          <w:tcPr>
            <w:tcW w:w="3960" w:type="dxa"/>
            <w:vAlign w:val="center"/>
          </w:tcPr>
          <w:p w:rsidR="00B90EE1" w:rsidRDefault="003A231F">
            <w:pPr>
              <w:spacing w:before="60" w:after="60"/>
              <w:jc w:val="center"/>
              <w:rPr>
                <w:noProof/>
              </w:rPr>
            </w:pPr>
            <w:r>
              <w:rPr>
                <w:noProof/>
                <w:sz w:val="22"/>
              </w:rPr>
              <w:t>GR: TRADE</w:t>
            </w:r>
          </w:p>
        </w:tc>
      </w:tr>
      <w:tr w:rsidR="00B90EE1">
        <w:trPr>
          <w:trHeight w:val="313"/>
        </w:trPr>
        <w:tc>
          <w:tcPr>
            <w:tcW w:w="6054" w:type="dxa"/>
            <w:gridSpan w:val="3"/>
            <w:vAlign w:val="center"/>
          </w:tcPr>
          <w:p w:rsidR="00B90EE1" w:rsidRDefault="003A231F">
            <w:pPr>
              <w:spacing w:before="20" w:after="20"/>
              <w:rPr>
                <w:noProof/>
              </w:rPr>
            </w:pPr>
            <w:r>
              <w:rPr>
                <w:noProof/>
                <w:sz w:val="22"/>
              </w:rPr>
              <w:sym w:font="Wingdings" w:char="F09F"/>
            </w:r>
            <w:r>
              <w:rPr>
                <w:noProof/>
                <w:sz w:val="22"/>
              </w:rPr>
              <w:t xml:space="preserve"> Ľudské zdroje </w:t>
            </w:r>
          </w:p>
        </w:tc>
        <w:tc>
          <w:tcPr>
            <w:tcW w:w="868" w:type="dxa"/>
            <w:vAlign w:val="center"/>
          </w:tcPr>
          <w:p w:rsidR="00B90EE1" w:rsidRDefault="003A231F">
            <w:pPr>
              <w:spacing w:before="20" w:after="20"/>
              <w:jc w:val="right"/>
              <w:rPr>
                <w:noProof/>
                <w:sz w:val="20"/>
              </w:rPr>
            </w:pPr>
            <w:r>
              <w:rPr>
                <w:noProof/>
                <w:sz w:val="20"/>
              </w:rPr>
              <w:t>0,828</w:t>
            </w:r>
          </w:p>
        </w:tc>
        <w:tc>
          <w:tcPr>
            <w:tcW w:w="868" w:type="dxa"/>
            <w:vAlign w:val="center"/>
          </w:tcPr>
          <w:p w:rsidR="00B90EE1" w:rsidRDefault="003A231F">
            <w:pPr>
              <w:spacing w:before="20" w:after="20"/>
              <w:jc w:val="right"/>
              <w:rPr>
                <w:noProof/>
                <w:sz w:val="20"/>
              </w:rPr>
            </w:pPr>
            <w:r>
              <w:rPr>
                <w:noProof/>
                <w:sz w:val="20"/>
              </w:rPr>
              <w:t>0,828</w:t>
            </w:r>
          </w:p>
        </w:tc>
        <w:tc>
          <w:tcPr>
            <w:tcW w:w="868" w:type="dxa"/>
            <w:vAlign w:val="center"/>
          </w:tcPr>
          <w:p w:rsidR="00B90EE1" w:rsidRDefault="003A231F">
            <w:pPr>
              <w:spacing w:before="20" w:after="20"/>
              <w:jc w:val="right"/>
              <w:rPr>
                <w:noProof/>
                <w:sz w:val="20"/>
              </w:rPr>
            </w:pPr>
            <w:r>
              <w:rPr>
                <w:noProof/>
                <w:sz w:val="20"/>
              </w:rPr>
              <w:t>0,828</w:t>
            </w:r>
          </w:p>
        </w:tc>
        <w:tc>
          <w:tcPr>
            <w:tcW w:w="868" w:type="dxa"/>
            <w:vAlign w:val="center"/>
          </w:tcPr>
          <w:p w:rsidR="00B90EE1" w:rsidRDefault="003A231F">
            <w:pPr>
              <w:spacing w:before="20" w:after="20"/>
              <w:jc w:val="right"/>
              <w:rPr>
                <w:noProof/>
                <w:sz w:val="20"/>
              </w:rPr>
            </w:pPr>
            <w:r>
              <w:rPr>
                <w:noProof/>
                <w:sz w:val="20"/>
              </w:rPr>
              <w:t>0,828</w:t>
            </w: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b/>
                <w:noProof/>
                <w:sz w:val="20"/>
              </w:rPr>
            </w:pPr>
          </w:p>
        </w:tc>
        <w:tc>
          <w:tcPr>
            <w:tcW w:w="1777" w:type="dxa"/>
            <w:vAlign w:val="center"/>
          </w:tcPr>
          <w:p w:rsidR="00B90EE1" w:rsidRDefault="003A231F">
            <w:pPr>
              <w:spacing w:before="20" w:after="20"/>
              <w:jc w:val="right"/>
              <w:rPr>
                <w:b/>
                <w:noProof/>
                <w:sz w:val="20"/>
              </w:rPr>
            </w:pPr>
            <w:r>
              <w:rPr>
                <w:b/>
                <w:noProof/>
                <w:sz w:val="20"/>
              </w:rPr>
              <w:t>0,828</w:t>
            </w:r>
          </w:p>
        </w:tc>
      </w:tr>
      <w:tr w:rsidR="00B90EE1">
        <w:trPr>
          <w:trHeight w:val="351"/>
        </w:trPr>
        <w:tc>
          <w:tcPr>
            <w:tcW w:w="6054" w:type="dxa"/>
            <w:gridSpan w:val="3"/>
            <w:vAlign w:val="center"/>
          </w:tcPr>
          <w:p w:rsidR="00B90EE1" w:rsidRDefault="003A231F">
            <w:pPr>
              <w:spacing w:before="20" w:after="20"/>
              <w:rPr>
                <w:noProof/>
              </w:rPr>
            </w:pPr>
            <w:r>
              <w:rPr>
                <w:noProof/>
                <w:sz w:val="22"/>
              </w:rPr>
              <w:sym w:font="Wingdings" w:char="F09F"/>
            </w:r>
            <w:r>
              <w:rPr>
                <w:noProof/>
                <w:sz w:val="22"/>
              </w:rPr>
              <w:t xml:space="preserve"> Ostatné administratívne výdavky </w:t>
            </w:r>
          </w:p>
        </w:tc>
        <w:tc>
          <w:tcPr>
            <w:tcW w:w="868" w:type="dxa"/>
            <w:vAlign w:val="center"/>
          </w:tcPr>
          <w:p w:rsidR="00B90EE1" w:rsidRDefault="003A231F">
            <w:pPr>
              <w:spacing w:before="20" w:after="20"/>
              <w:jc w:val="right"/>
              <w:rPr>
                <w:b/>
                <w:noProof/>
                <w:sz w:val="20"/>
              </w:rPr>
            </w:pPr>
            <w:r>
              <w:rPr>
                <w:b/>
                <w:noProof/>
                <w:sz w:val="20"/>
              </w:rPr>
              <w:t>0,088</w:t>
            </w:r>
          </w:p>
        </w:tc>
        <w:tc>
          <w:tcPr>
            <w:tcW w:w="868" w:type="dxa"/>
            <w:vAlign w:val="center"/>
          </w:tcPr>
          <w:p w:rsidR="00B90EE1" w:rsidRDefault="003A231F">
            <w:pPr>
              <w:spacing w:before="20" w:after="20"/>
              <w:jc w:val="right"/>
              <w:rPr>
                <w:b/>
                <w:noProof/>
                <w:sz w:val="20"/>
              </w:rPr>
            </w:pPr>
            <w:r>
              <w:rPr>
                <w:b/>
                <w:noProof/>
                <w:sz w:val="20"/>
              </w:rPr>
              <w:t>0,088</w:t>
            </w:r>
          </w:p>
        </w:tc>
        <w:tc>
          <w:tcPr>
            <w:tcW w:w="868" w:type="dxa"/>
            <w:vAlign w:val="center"/>
          </w:tcPr>
          <w:p w:rsidR="00B90EE1" w:rsidRDefault="003A231F">
            <w:pPr>
              <w:spacing w:before="20" w:after="20"/>
              <w:jc w:val="right"/>
              <w:rPr>
                <w:b/>
                <w:noProof/>
                <w:sz w:val="20"/>
              </w:rPr>
            </w:pPr>
            <w:r>
              <w:rPr>
                <w:b/>
                <w:noProof/>
                <w:sz w:val="20"/>
              </w:rPr>
              <w:t>0,088</w:t>
            </w:r>
          </w:p>
        </w:tc>
        <w:tc>
          <w:tcPr>
            <w:tcW w:w="868" w:type="dxa"/>
            <w:vAlign w:val="center"/>
          </w:tcPr>
          <w:p w:rsidR="00B90EE1" w:rsidRDefault="003A231F">
            <w:pPr>
              <w:spacing w:before="20" w:after="20"/>
              <w:jc w:val="right"/>
              <w:rPr>
                <w:b/>
                <w:noProof/>
                <w:sz w:val="20"/>
              </w:rPr>
            </w:pPr>
            <w:r>
              <w:rPr>
                <w:b/>
                <w:noProof/>
                <w:sz w:val="20"/>
              </w:rPr>
              <w:t>0,088</w:t>
            </w: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1777" w:type="dxa"/>
            <w:vAlign w:val="center"/>
          </w:tcPr>
          <w:p w:rsidR="00B90EE1" w:rsidRDefault="003A231F">
            <w:pPr>
              <w:spacing w:before="20" w:after="20"/>
              <w:jc w:val="right"/>
              <w:rPr>
                <w:b/>
                <w:noProof/>
                <w:sz w:val="20"/>
              </w:rPr>
            </w:pPr>
            <w:r>
              <w:rPr>
                <w:b/>
                <w:noProof/>
                <w:sz w:val="20"/>
              </w:rPr>
              <w:t>0,088</w:t>
            </w:r>
          </w:p>
        </w:tc>
      </w:tr>
      <w:tr w:rsidR="00B90EE1">
        <w:tc>
          <w:tcPr>
            <w:tcW w:w="3960" w:type="dxa"/>
            <w:vAlign w:val="center"/>
          </w:tcPr>
          <w:p w:rsidR="00B90EE1" w:rsidRDefault="003A231F">
            <w:pPr>
              <w:jc w:val="center"/>
              <w:rPr>
                <w:b/>
                <w:noProof/>
              </w:rPr>
            </w:pPr>
            <w:r>
              <w:rPr>
                <w:b/>
                <w:noProof/>
                <w:sz w:val="22"/>
              </w:rPr>
              <w:t>GR TRADE SPOLU</w:t>
            </w:r>
          </w:p>
        </w:tc>
        <w:tc>
          <w:tcPr>
            <w:tcW w:w="2094" w:type="dxa"/>
            <w:gridSpan w:val="2"/>
            <w:vAlign w:val="center"/>
          </w:tcPr>
          <w:p w:rsidR="00B90EE1" w:rsidRDefault="003A231F">
            <w:pPr>
              <w:rPr>
                <w:noProof/>
                <w:sz w:val="14"/>
              </w:rPr>
            </w:pPr>
            <w:r>
              <w:rPr>
                <w:noProof/>
                <w:sz w:val="18"/>
              </w:rPr>
              <w:t xml:space="preserve">Rozpočtové prostriedky </w:t>
            </w:r>
          </w:p>
        </w:tc>
        <w:tc>
          <w:tcPr>
            <w:tcW w:w="868" w:type="dxa"/>
            <w:vAlign w:val="center"/>
          </w:tcPr>
          <w:p w:rsidR="00B90EE1" w:rsidRDefault="003A231F">
            <w:pPr>
              <w:spacing w:before="60" w:after="60"/>
              <w:jc w:val="right"/>
              <w:rPr>
                <w:noProof/>
                <w:sz w:val="20"/>
              </w:rPr>
            </w:pPr>
            <w:r>
              <w:rPr>
                <w:noProof/>
                <w:sz w:val="20"/>
              </w:rPr>
              <w:t>0,916</w:t>
            </w:r>
          </w:p>
        </w:tc>
        <w:tc>
          <w:tcPr>
            <w:tcW w:w="868" w:type="dxa"/>
            <w:vAlign w:val="center"/>
          </w:tcPr>
          <w:p w:rsidR="00B90EE1" w:rsidRDefault="003A231F">
            <w:pPr>
              <w:spacing w:before="20" w:after="20"/>
              <w:jc w:val="right"/>
              <w:rPr>
                <w:noProof/>
                <w:sz w:val="20"/>
              </w:rPr>
            </w:pPr>
            <w:r>
              <w:rPr>
                <w:noProof/>
                <w:sz w:val="20"/>
              </w:rPr>
              <w:t>0,916</w:t>
            </w:r>
          </w:p>
        </w:tc>
        <w:tc>
          <w:tcPr>
            <w:tcW w:w="868" w:type="dxa"/>
            <w:vAlign w:val="center"/>
          </w:tcPr>
          <w:p w:rsidR="00B90EE1" w:rsidRDefault="003A231F">
            <w:pPr>
              <w:spacing w:before="20" w:after="20"/>
              <w:jc w:val="right"/>
              <w:rPr>
                <w:noProof/>
                <w:sz w:val="20"/>
              </w:rPr>
            </w:pPr>
            <w:r>
              <w:rPr>
                <w:noProof/>
                <w:sz w:val="20"/>
              </w:rPr>
              <w:t>0,916</w:t>
            </w:r>
          </w:p>
        </w:tc>
        <w:tc>
          <w:tcPr>
            <w:tcW w:w="868" w:type="dxa"/>
            <w:vAlign w:val="center"/>
          </w:tcPr>
          <w:p w:rsidR="00B90EE1" w:rsidRDefault="003A231F">
            <w:pPr>
              <w:spacing w:before="20" w:after="20"/>
              <w:jc w:val="right"/>
              <w:rPr>
                <w:noProof/>
                <w:sz w:val="20"/>
              </w:rPr>
            </w:pPr>
            <w:r>
              <w:rPr>
                <w:noProof/>
                <w:sz w:val="20"/>
              </w:rPr>
              <w:t>0,916</w:t>
            </w: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b/>
                <w:noProof/>
                <w:sz w:val="20"/>
              </w:rPr>
            </w:pPr>
          </w:p>
        </w:tc>
        <w:tc>
          <w:tcPr>
            <w:tcW w:w="1777" w:type="dxa"/>
            <w:vAlign w:val="center"/>
          </w:tcPr>
          <w:p w:rsidR="00B90EE1" w:rsidRDefault="003A231F">
            <w:pPr>
              <w:spacing w:before="20" w:after="20"/>
              <w:jc w:val="right"/>
              <w:rPr>
                <w:b/>
                <w:noProof/>
                <w:sz w:val="20"/>
              </w:rPr>
            </w:pPr>
            <w:r>
              <w:rPr>
                <w:b/>
                <w:noProof/>
                <w:sz w:val="20"/>
              </w:rPr>
              <w:t>0,916</w:t>
            </w:r>
          </w:p>
        </w:tc>
      </w:tr>
      <w:tr w:rsidR="00B90EE1">
        <w:tc>
          <w:tcPr>
            <w:tcW w:w="3960" w:type="dxa"/>
            <w:tcBorders>
              <w:top w:val="nil"/>
              <w:left w:val="nil"/>
              <w:right w:val="nil"/>
            </w:tcBorders>
            <w:vAlign w:val="center"/>
          </w:tcPr>
          <w:p w:rsidR="00B90EE1" w:rsidRDefault="00B90EE1">
            <w:pPr>
              <w:jc w:val="center"/>
              <w:rPr>
                <w:noProof/>
              </w:rPr>
            </w:pPr>
          </w:p>
        </w:tc>
        <w:tc>
          <w:tcPr>
            <w:tcW w:w="1560" w:type="dxa"/>
            <w:tcBorders>
              <w:top w:val="nil"/>
              <w:left w:val="nil"/>
              <w:right w:val="nil"/>
            </w:tcBorders>
          </w:tcPr>
          <w:p w:rsidR="00B90EE1" w:rsidRDefault="00B90EE1">
            <w:pPr>
              <w:rPr>
                <w:noProof/>
                <w:sz w:val="20"/>
              </w:rPr>
            </w:pPr>
          </w:p>
        </w:tc>
        <w:tc>
          <w:tcPr>
            <w:tcW w:w="534" w:type="dxa"/>
            <w:tcBorders>
              <w:top w:val="nil"/>
              <w:left w:val="nil"/>
            </w:tcBorders>
          </w:tcPr>
          <w:p w:rsidR="00B90EE1" w:rsidRDefault="00B90EE1">
            <w:pPr>
              <w:jc w:val="center"/>
              <w:rPr>
                <w:noProof/>
                <w:sz w:val="20"/>
              </w:rPr>
            </w:pP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w:t>
            </w: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 + 1</w:t>
            </w: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 + 2</w:t>
            </w: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 + 3</w:t>
            </w:r>
          </w:p>
        </w:tc>
        <w:tc>
          <w:tcPr>
            <w:tcW w:w="2604" w:type="dxa"/>
            <w:gridSpan w:val="3"/>
            <w:vAlign w:val="center"/>
          </w:tcPr>
          <w:p w:rsidR="00B90EE1" w:rsidRDefault="003A231F">
            <w:pPr>
              <w:jc w:val="center"/>
              <w:rPr>
                <w:b/>
                <w:noProof/>
                <w:sz w:val="18"/>
              </w:rPr>
            </w:pPr>
            <w:r>
              <w:rPr>
                <w:noProof/>
                <w:sz w:val="18"/>
              </w:rPr>
              <w:t xml:space="preserve">Uveďte všetky roky, počas ktorých vplyv trvá (pozri bod 1.6) </w:t>
            </w:r>
          </w:p>
        </w:tc>
        <w:tc>
          <w:tcPr>
            <w:tcW w:w="1777" w:type="dxa"/>
            <w:vAlign w:val="center"/>
          </w:tcPr>
          <w:p w:rsidR="00B90EE1" w:rsidRDefault="003A231F">
            <w:pPr>
              <w:jc w:val="center"/>
              <w:rPr>
                <w:b/>
                <w:noProof/>
                <w:sz w:val="20"/>
              </w:rPr>
            </w:pPr>
            <w:r>
              <w:rPr>
                <w:b/>
                <w:noProof/>
                <w:sz w:val="20"/>
              </w:rPr>
              <w:t>SPOLU</w:t>
            </w:r>
          </w:p>
        </w:tc>
      </w:tr>
      <w:tr w:rsidR="00B90EE1">
        <w:trPr>
          <w:gridAfter w:val="10"/>
          <w:wAfter w:w="9947" w:type="dxa"/>
        </w:trPr>
        <w:tc>
          <w:tcPr>
            <w:tcW w:w="3960" w:type="dxa"/>
            <w:vAlign w:val="center"/>
          </w:tcPr>
          <w:p w:rsidR="00B90EE1" w:rsidRDefault="003A231F">
            <w:pPr>
              <w:spacing w:before="60" w:after="60"/>
              <w:jc w:val="center"/>
              <w:rPr>
                <w:noProof/>
              </w:rPr>
            </w:pPr>
            <w:r>
              <w:rPr>
                <w:noProof/>
                <w:sz w:val="22"/>
              </w:rPr>
              <w:t>GR: COMP</w:t>
            </w:r>
          </w:p>
        </w:tc>
      </w:tr>
      <w:tr w:rsidR="00B90EE1">
        <w:trPr>
          <w:trHeight w:val="313"/>
        </w:trPr>
        <w:tc>
          <w:tcPr>
            <w:tcW w:w="6054" w:type="dxa"/>
            <w:gridSpan w:val="3"/>
            <w:vAlign w:val="center"/>
          </w:tcPr>
          <w:p w:rsidR="00B90EE1" w:rsidRDefault="003A231F">
            <w:pPr>
              <w:spacing w:before="20" w:after="20"/>
              <w:rPr>
                <w:noProof/>
              </w:rPr>
            </w:pPr>
            <w:r>
              <w:rPr>
                <w:noProof/>
                <w:sz w:val="22"/>
              </w:rPr>
              <w:sym w:font="Wingdings" w:char="F09F"/>
            </w:r>
            <w:r>
              <w:rPr>
                <w:noProof/>
                <w:sz w:val="22"/>
              </w:rPr>
              <w:t xml:space="preserve"> Ľudské zdroje </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b/>
                <w:noProof/>
                <w:sz w:val="20"/>
              </w:rPr>
            </w:pPr>
          </w:p>
        </w:tc>
        <w:tc>
          <w:tcPr>
            <w:tcW w:w="1777" w:type="dxa"/>
            <w:vAlign w:val="center"/>
          </w:tcPr>
          <w:p w:rsidR="00B90EE1" w:rsidRDefault="003A231F">
            <w:pPr>
              <w:spacing w:before="20" w:after="20"/>
              <w:jc w:val="right"/>
              <w:rPr>
                <w:b/>
                <w:noProof/>
                <w:sz w:val="20"/>
              </w:rPr>
            </w:pPr>
            <w:r>
              <w:rPr>
                <w:noProof/>
                <w:sz w:val="20"/>
              </w:rPr>
              <w:t>0,276</w:t>
            </w:r>
          </w:p>
        </w:tc>
      </w:tr>
      <w:tr w:rsidR="00B90EE1">
        <w:trPr>
          <w:trHeight w:val="351"/>
        </w:trPr>
        <w:tc>
          <w:tcPr>
            <w:tcW w:w="6054" w:type="dxa"/>
            <w:gridSpan w:val="3"/>
            <w:vAlign w:val="center"/>
          </w:tcPr>
          <w:p w:rsidR="00B90EE1" w:rsidRDefault="003A231F">
            <w:pPr>
              <w:spacing w:before="20" w:after="20"/>
              <w:rPr>
                <w:noProof/>
              </w:rPr>
            </w:pPr>
            <w:r>
              <w:rPr>
                <w:noProof/>
                <w:sz w:val="22"/>
              </w:rPr>
              <w:sym w:font="Wingdings" w:char="F09F"/>
            </w:r>
            <w:r>
              <w:rPr>
                <w:noProof/>
                <w:sz w:val="22"/>
              </w:rPr>
              <w:t xml:space="preserve"> Ostatné administratívne výdavky </w:t>
            </w: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1777" w:type="dxa"/>
            <w:vAlign w:val="center"/>
          </w:tcPr>
          <w:p w:rsidR="00B90EE1" w:rsidRDefault="00B90EE1">
            <w:pPr>
              <w:spacing w:before="20" w:after="20"/>
              <w:jc w:val="right"/>
              <w:rPr>
                <w:b/>
                <w:noProof/>
                <w:sz w:val="20"/>
              </w:rPr>
            </w:pPr>
          </w:p>
        </w:tc>
      </w:tr>
      <w:tr w:rsidR="00B90EE1">
        <w:tc>
          <w:tcPr>
            <w:tcW w:w="3960" w:type="dxa"/>
            <w:vAlign w:val="center"/>
          </w:tcPr>
          <w:p w:rsidR="00B90EE1" w:rsidRDefault="003A231F">
            <w:pPr>
              <w:jc w:val="center"/>
              <w:rPr>
                <w:b/>
                <w:noProof/>
              </w:rPr>
            </w:pPr>
            <w:r>
              <w:rPr>
                <w:b/>
                <w:noProof/>
                <w:sz w:val="22"/>
              </w:rPr>
              <w:t>GR COMP SPOLU</w:t>
            </w:r>
          </w:p>
        </w:tc>
        <w:tc>
          <w:tcPr>
            <w:tcW w:w="2094" w:type="dxa"/>
            <w:gridSpan w:val="2"/>
            <w:vAlign w:val="center"/>
          </w:tcPr>
          <w:p w:rsidR="00B90EE1" w:rsidRDefault="003A231F">
            <w:pPr>
              <w:rPr>
                <w:noProof/>
                <w:sz w:val="14"/>
              </w:rPr>
            </w:pPr>
            <w:r>
              <w:rPr>
                <w:noProof/>
                <w:sz w:val="18"/>
              </w:rPr>
              <w:t xml:space="preserve">Rozpočtové prostriedky </w:t>
            </w:r>
          </w:p>
        </w:tc>
        <w:tc>
          <w:tcPr>
            <w:tcW w:w="868" w:type="dxa"/>
            <w:vAlign w:val="center"/>
          </w:tcPr>
          <w:p w:rsidR="00B90EE1" w:rsidRDefault="003A231F">
            <w:pPr>
              <w:spacing w:before="60" w:after="60"/>
              <w:jc w:val="right"/>
              <w:rPr>
                <w:noProof/>
                <w:sz w:val="20"/>
              </w:rPr>
            </w:pPr>
            <w:r>
              <w:rPr>
                <w:noProof/>
                <w:sz w:val="20"/>
              </w:rPr>
              <w:t>0,276</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b/>
                <w:noProof/>
                <w:sz w:val="20"/>
              </w:rPr>
            </w:pPr>
          </w:p>
        </w:tc>
        <w:tc>
          <w:tcPr>
            <w:tcW w:w="1777" w:type="dxa"/>
            <w:vAlign w:val="center"/>
          </w:tcPr>
          <w:p w:rsidR="00B90EE1" w:rsidRDefault="003A231F">
            <w:pPr>
              <w:spacing w:before="20" w:after="20"/>
              <w:jc w:val="right"/>
              <w:rPr>
                <w:b/>
                <w:noProof/>
                <w:sz w:val="20"/>
              </w:rPr>
            </w:pPr>
            <w:r>
              <w:rPr>
                <w:b/>
                <w:noProof/>
                <w:sz w:val="20"/>
              </w:rPr>
              <w:t>0,276</w:t>
            </w:r>
          </w:p>
        </w:tc>
      </w:tr>
      <w:tr w:rsidR="00B90EE1">
        <w:tc>
          <w:tcPr>
            <w:tcW w:w="3960" w:type="dxa"/>
            <w:tcBorders>
              <w:top w:val="nil"/>
              <w:left w:val="nil"/>
              <w:right w:val="nil"/>
            </w:tcBorders>
            <w:vAlign w:val="center"/>
          </w:tcPr>
          <w:p w:rsidR="00B90EE1" w:rsidRDefault="00B90EE1">
            <w:pPr>
              <w:jc w:val="center"/>
              <w:rPr>
                <w:noProof/>
              </w:rPr>
            </w:pPr>
          </w:p>
        </w:tc>
        <w:tc>
          <w:tcPr>
            <w:tcW w:w="1560" w:type="dxa"/>
            <w:tcBorders>
              <w:top w:val="nil"/>
              <w:left w:val="nil"/>
              <w:right w:val="nil"/>
            </w:tcBorders>
          </w:tcPr>
          <w:p w:rsidR="00B90EE1" w:rsidRDefault="00B90EE1">
            <w:pPr>
              <w:rPr>
                <w:noProof/>
                <w:sz w:val="20"/>
              </w:rPr>
            </w:pPr>
          </w:p>
        </w:tc>
        <w:tc>
          <w:tcPr>
            <w:tcW w:w="534" w:type="dxa"/>
            <w:tcBorders>
              <w:top w:val="nil"/>
              <w:left w:val="nil"/>
            </w:tcBorders>
          </w:tcPr>
          <w:p w:rsidR="00B90EE1" w:rsidRDefault="00B90EE1">
            <w:pPr>
              <w:jc w:val="center"/>
              <w:rPr>
                <w:noProof/>
                <w:sz w:val="20"/>
              </w:rPr>
            </w:pP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w:t>
            </w: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 + 1</w:t>
            </w: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 + 2</w:t>
            </w: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 + 3</w:t>
            </w:r>
          </w:p>
        </w:tc>
        <w:tc>
          <w:tcPr>
            <w:tcW w:w="2604" w:type="dxa"/>
            <w:gridSpan w:val="3"/>
            <w:vAlign w:val="center"/>
          </w:tcPr>
          <w:p w:rsidR="00B90EE1" w:rsidRDefault="003A231F">
            <w:pPr>
              <w:jc w:val="center"/>
              <w:rPr>
                <w:b/>
                <w:noProof/>
                <w:sz w:val="18"/>
              </w:rPr>
            </w:pPr>
            <w:r>
              <w:rPr>
                <w:noProof/>
                <w:sz w:val="18"/>
              </w:rPr>
              <w:t xml:space="preserve">Uveďte všetky roky, počas ktorých vplyv trvá (pozri bod 1.6) </w:t>
            </w:r>
          </w:p>
        </w:tc>
        <w:tc>
          <w:tcPr>
            <w:tcW w:w="1777" w:type="dxa"/>
            <w:vAlign w:val="center"/>
          </w:tcPr>
          <w:p w:rsidR="00B90EE1" w:rsidRDefault="003A231F">
            <w:pPr>
              <w:jc w:val="center"/>
              <w:rPr>
                <w:b/>
                <w:noProof/>
                <w:sz w:val="20"/>
              </w:rPr>
            </w:pPr>
            <w:r>
              <w:rPr>
                <w:b/>
                <w:noProof/>
                <w:sz w:val="20"/>
              </w:rPr>
              <w:t>SPOLU</w:t>
            </w:r>
          </w:p>
        </w:tc>
      </w:tr>
      <w:tr w:rsidR="00B90EE1">
        <w:trPr>
          <w:gridAfter w:val="10"/>
          <w:wAfter w:w="9947" w:type="dxa"/>
        </w:trPr>
        <w:tc>
          <w:tcPr>
            <w:tcW w:w="3960" w:type="dxa"/>
            <w:vAlign w:val="center"/>
          </w:tcPr>
          <w:p w:rsidR="00B90EE1" w:rsidRDefault="003A231F">
            <w:pPr>
              <w:spacing w:before="60" w:after="60"/>
              <w:jc w:val="center"/>
              <w:rPr>
                <w:noProof/>
              </w:rPr>
            </w:pPr>
            <w:r>
              <w:rPr>
                <w:noProof/>
                <w:sz w:val="22"/>
              </w:rPr>
              <w:t>GR: CNCT</w:t>
            </w:r>
          </w:p>
        </w:tc>
      </w:tr>
      <w:tr w:rsidR="00B90EE1">
        <w:trPr>
          <w:trHeight w:val="313"/>
        </w:trPr>
        <w:tc>
          <w:tcPr>
            <w:tcW w:w="6054" w:type="dxa"/>
            <w:gridSpan w:val="3"/>
            <w:vAlign w:val="center"/>
          </w:tcPr>
          <w:p w:rsidR="00B90EE1" w:rsidRDefault="003A231F">
            <w:pPr>
              <w:spacing w:before="20" w:after="20"/>
              <w:rPr>
                <w:noProof/>
              </w:rPr>
            </w:pPr>
            <w:r>
              <w:rPr>
                <w:noProof/>
                <w:sz w:val="22"/>
              </w:rPr>
              <w:sym w:font="Wingdings" w:char="F09F"/>
            </w:r>
            <w:r>
              <w:rPr>
                <w:noProof/>
                <w:sz w:val="22"/>
              </w:rPr>
              <w:t xml:space="preserve"> Ľudské zdroje </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b/>
                <w:noProof/>
                <w:sz w:val="20"/>
              </w:rPr>
            </w:pPr>
          </w:p>
        </w:tc>
        <w:tc>
          <w:tcPr>
            <w:tcW w:w="1777" w:type="dxa"/>
            <w:vAlign w:val="center"/>
          </w:tcPr>
          <w:p w:rsidR="00B90EE1" w:rsidRDefault="003A231F">
            <w:pPr>
              <w:spacing w:before="20" w:after="20"/>
              <w:jc w:val="right"/>
              <w:rPr>
                <w:b/>
                <w:noProof/>
                <w:sz w:val="20"/>
              </w:rPr>
            </w:pPr>
            <w:r>
              <w:rPr>
                <w:noProof/>
                <w:sz w:val="20"/>
              </w:rPr>
              <w:t>0,276</w:t>
            </w:r>
          </w:p>
        </w:tc>
      </w:tr>
      <w:tr w:rsidR="00B90EE1">
        <w:trPr>
          <w:trHeight w:val="351"/>
        </w:trPr>
        <w:tc>
          <w:tcPr>
            <w:tcW w:w="6054" w:type="dxa"/>
            <w:gridSpan w:val="3"/>
            <w:vAlign w:val="center"/>
          </w:tcPr>
          <w:p w:rsidR="00B90EE1" w:rsidRDefault="003A231F">
            <w:pPr>
              <w:spacing w:before="20" w:after="20"/>
              <w:rPr>
                <w:noProof/>
              </w:rPr>
            </w:pPr>
            <w:r>
              <w:rPr>
                <w:noProof/>
                <w:sz w:val="22"/>
              </w:rPr>
              <w:sym w:font="Wingdings" w:char="F09F"/>
            </w:r>
            <w:r>
              <w:rPr>
                <w:noProof/>
                <w:sz w:val="22"/>
              </w:rPr>
              <w:t xml:space="preserve"> Ostatné administratívne výdavky </w:t>
            </w: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1777" w:type="dxa"/>
            <w:vAlign w:val="center"/>
          </w:tcPr>
          <w:p w:rsidR="00B90EE1" w:rsidRDefault="00B90EE1">
            <w:pPr>
              <w:spacing w:before="20" w:after="20"/>
              <w:jc w:val="right"/>
              <w:rPr>
                <w:b/>
                <w:noProof/>
                <w:sz w:val="20"/>
              </w:rPr>
            </w:pPr>
          </w:p>
        </w:tc>
      </w:tr>
      <w:tr w:rsidR="00B90EE1">
        <w:tc>
          <w:tcPr>
            <w:tcW w:w="3960" w:type="dxa"/>
            <w:vAlign w:val="center"/>
          </w:tcPr>
          <w:p w:rsidR="00B90EE1" w:rsidRDefault="003A231F">
            <w:pPr>
              <w:jc w:val="center"/>
              <w:rPr>
                <w:b/>
                <w:noProof/>
              </w:rPr>
            </w:pPr>
            <w:r>
              <w:rPr>
                <w:b/>
                <w:noProof/>
                <w:sz w:val="22"/>
              </w:rPr>
              <w:t>GR CNCT SPOLU</w:t>
            </w:r>
          </w:p>
        </w:tc>
        <w:tc>
          <w:tcPr>
            <w:tcW w:w="2094" w:type="dxa"/>
            <w:gridSpan w:val="2"/>
            <w:vAlign w:val="center"/>
          </w:tcPr>
          <w:p w:rsidR="00B90EE1" w:rsidRDefault="003A231F">
            <w:pPr>
              <w:rPr>
                <w:noProof/>
                <w:sz w:val="14"/>
              </w:rPr>
            </w:pPr>
            <w:r>
              <w:rPr>
                <w:noProof/>
                <w:sz w:val="18"/>
              </w:rPr>
              <w:t xml:space="preserve">Rozpočtové prostriedky </w:t>
            </w:r>
          </w:p>
        </w:tc>
        <w:tc>
          <w:tcPr>
            <w:tcW w:w="868" w:type="dxa"/>
            <w:vAlign w:val="center"/>
          </w:tcPr>
          <w:p w:rsidR="00B90EE1" w:rsidRDefault="003A231F">
            <w:pPr>
              <w:spacing w:before="60" w:after="60"/>
              <w:jc w:val="right"/>
              <w:rPr>
                <w:noProof/>
                <w:sz w:val="20"/>
              </w:rPr>
            </w:pPr>
            <w:r>
              <w:rPr>
                <w:noProof/>
                <w:sz w:val="20"/>
              </w:rPr>
              <w:t>0,276</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b/>
                <w:noProof/>
                <w:sz w:val="20"/>
              </w:rPr>
            </w:pPr>
          </w:p>
        </w:tc>
        <w:tc>
          <w:tcPr>
            <w:tcW w:w="1777" w:type="dxa"/>
            <w:vAlign w:val="center"/>
          </w:tcPr>
          <w:p w:rsidR="00B90EE1" w:rsidRDefault="003A231F">
            <w:pPr>
              <w:spacing w:before="20" w:after="20"/>
              <w:jc w:val="right"/>
              <w:rPr>
                <w:b/>
                <w:noProof/>
                <w:sz w:val="20"/>
              </w:rPr>
            </w:pPr>
            <w:r>
              <w:rPr>
                <w:noProof/>
                <w:sz w:val="20"/>
              </w:rPr>
              <w:t>0,276</w:t>
            </w:r>
          </w:p>
        </w:tc>
      </w:tr>
      <w:tr w:rsidR="00B90EE1">
        <w:tc>
          <w:tcPr>
            <w:tcW w:w="3960" w:type="dxa"/>
            <w:tcBorders>
              <w:top w:val="nil"/>
              <w:left w:val="nil"/>
              <w:right w:val="nil"/>
            </w:tcBorders>
            <w:vAlign w:val="center"/>
          </w:tcPr>
          <w:p w:rsidR="00B90EE1" w:rsidRDefault="00B90EE1">
            <w:pPr>
              <w:jc w:val="center"/>
              <w:rPr>
                <w:noProof/>
              </w:rPr>
            </w:pPr>
          </w:p>
        </w:tc>
        <w:tc>
          <w:tcPr>
            <w:tcW w:w="1560" w:type="dxa"/>
            <w:tcBorders>
              <w:top w:val="nil"/>
              <w:left w:val="nil"/>
              <w:right w:val="nil"/>
            </w:tcBorders>
          </w:tcPr>
          <w:p w:rsidR="00B90EE1" w:rsidRDefault="00B90EE1">
            <w:pPr>
              <w:rPr>
                <w:noProof/>
                <w:sz w:val="20"/>
              </w:rPr>
            </w:pPr>
          </w:p>
        </w:tc>
        <w:tc>
          <w:tcPr>
            <w:tcW w:w="534" w:type="dxa"/>
            <w:tcBorders>
              <w:top w:val="nil"/>
              <w:left w:val="nil"/>
            </w:tcBorders>
          </w:tcPr>
          <w:p w:rsidR="00B90EE1" w:rsidRDefault="00B90EE1">
            <w:pPr>
              <w:jc w:val="center"/>
              <w:rPr>
                <w:noProof/>
                <w:sz w:val="20"/>
              </w:rPr>
            </w:pP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w:t>
            </w: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 + 1</w:t>
            </w: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 + 2</w:t>
            </w: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 + 3</w:t>
            </w:r>
          </w:p>
        </w:tc>
        <w:tc>
          <w:tcPr>
            <w:tcW w:w="2604" w:type="dxa"/>
            <w:gridSpan w:val="3"/>
            <w:vAlign w:val="center"/>
          </w:tcPr>
          <w:p w:rsidR="00B90EE1" w:rsidRDefault="003A231F">
            <w:pPr>
              <w:jc w:val="center"/>
              <w:rPr>
                <w:b/>
                <w:noProof/>
                <w:sz w:val="18"/>
              </w:rPr>
            </w:pPr>
            <w:r>
              <w:rPr>
                <w:noProof/>
                <w:sz w:val="18"/>
              </w:rPr>
              <w:t xml:space="preserve">Uveďte všetky roky, počas ktorých vplyv trvá (pozri bod 1.6) </w:t>
            </w:r>
          </w:p>
        </w:tc>
        <w:tc>
          <w:tcPr>
            <w:tcW w:w="1777" w:type="dxa"/>
            <w:vAlign w:val="center"/>
          </w:tcPr>
          <w:p w:rsidR="00B90EE1" w:rsidRDefault="003A231F">
            <w:pPr>
              <w:jc w:val="center"/>
              <w:rPr>
                <w:b/>
                <w:noProof/>
                <w:sz w:val="20"/>
              </w:rPr>
            </w:pPr>
            <w:r>
              <w:rPr>
                <w:b/>
                <w:noProof/>
                <w:sz w:val="20"/>
              </w:rPr>
              <w:t>SPOLU</w:t>
            </w:r>
          </w:p>
        </w:tc>
      </w:tr>
      <w:tr w:rsidR="00B90EE1">
        <w:trPr>
          <w:gridAfter w:val="10"/>
          <w:wAfter w:w="9947" w:type="dxa"/>
        </w:trPr>
        <w:tc>
          <w:tcPr>
            <w:tcW w:w="3960" w:type="dxa"/>
            <w:vAlign w:val="center"/>
          </w:tcPr>
          <w:p w:rsidR="00B90EE1" w:rsidRDefault="003A231F">
            <w:pPr>
              <w:spacing w:before="60" w:after="60"/>
              <w:jc w:val="center"/>
              <w:rPr>
                <w:noProof/>
              </w:rPr>
            </w:pPr>
            <w:r>
              <w:rPr>
                <w:noProof/>
                <w:sz w:val="22"/>
              </w:rPr>
              <w:t xml:space="preserve">GR: </w:t>
            </w:r>
            <w:r>
              <w:rPr>
                <w:noProof/>
                <w:sz w:val="22"/>
              </w:rPr>
              <w:t>ENER</w:t>
            </w:r>
          </w:p>
        </w:tc>
      </w:tr>
      <w:tr w:rsidR="00B90EE1">
        <w:trPr>
          <w:trHeight w:val="313"/>
        </w:trPr>
        <w:tc>
          <w:tcPr>
            <w:tcW w:w="6054" w:type="dxa"/>
            <w:gridSpan w:val="3"/>
            <w:vAlign w:val="center"/>
          </w:tcPr>
          <w:p w:rsidR="00B90EE1" w:rsidRDefault="003A231F">
            <w:pPr>
              <w:spacing w:before="20" w:after="20"/>
              <w:rPr>
                <w:noProof/>
              </w:rPr>
            </w:pPr>
            <w:r>
              <w:rPr>
                <w:noProof/>
                <w:sz w:val="22"/>
              </w:rPr>
              <w:sym w:font="Wingdings" w:char="F09F"/>
            </w:r>
            <w:r>
              <w:rPr>
                <w:noProof/>
                <w:sz w:val="22"/>
              </w:rPr>
              <w:t xml:space="preserve"> Ľudské zdroje </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b/>
                <w:noProof/>
                <w:sz w:val="20"/>
              </w:rPr>
            </w:pPr>
          </w:p>
        </w:tc>
        <w:tc>
          <w:tcPr>
            <w:tcW w:w="1777" w:type="dxa"/>
            <w:vAlign w:val="center"/>
          </w:tcPr>
          <w:p w:rsidR="00B90EE1" w:rsidRDefault="003A231F">
            <w:pPr>
              <w:spacing w:before="20" w:after="20"/>
              <w:jc w:val="right"/>
              <w:rPr>
                <w:b/>
                <w:noProof/>
                <w:sz w:val="20"/>
              </w:rPr>
            </w:pPr>
            <w:r>
              <w:rPr>
                <w:b/>
                <w:noProof/>
                <w:sz w:val="20"/>
              </w:rPr>
              <w:t>0,276</w:t>
            </w:r>
          </w:p>
        </w:tc>
      </w:tr>
      <w:tr w:rsidR="00B90EE1">
        <w:trPr>
          <w:trHeight w:val="351"/>
        </w:trPr>
        <w:tc>
          <w:tcPr>
            <w:tcW w:w="6054" w:type="dxa"/>
            <w:gridSpan w:val="3"/>
            <w:vAlign w:val="center"/>
          </w:tcPr>
          <w:p w:rsidR="00B90EE1" w:rsidRDefault="003A231F">
            <w:pPr>
              <w:spacing w:before="20" w:after="20"/>
              <w:rPr>
                <w:noProof/>
              </w:rPr>
            </w:pPr>
            <w:r>
              <w:rPr>
                <w:noProof/>
                <w:sz w:val="22"/>
              </w:rPr>
              <w:sym w:font="Wingdings" w:char="F09F"/>
            </w:r>
            <w:r>
              <w:rPr>
                <w:noProof/>
                <w:sz w:val="22"/>
              </w:rPr>
              <w:t xml:space="preserve"> Ostatné administratívne výdavky </w:t>
            </w: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1777" w:type="dxa"/>
            <w:vAlign w:val="center"/>
          </w:tcPr>
          <w:p w:rsidR="00B90EE1" w:rsidRDefault="00B90EE1">
            <w:pPr>
              <w:spacing w:before="20" w:after="20"/>
              <w:jc w:val="right"/>
              <w:rPr>
                <w:b/>
                <w:noProof/>
                <w:sz w:val="20"/>
              </w:rPr>
            </w:pPr>
          </w:p>
        </w:tc>
      </w:tr>
      <w:tr w:rsidR="00B90EE1">
        <w:tc>
          <w:tcPr>
            <w:tcW w:w="3960" w:type="dxa"/>
            <w:vAlign w:val="center"/>
          </w:tcPr>
          <w:p w:rsidR="00B90EE1" w:rsidRDefault="003A231F">
            <w:pPr>
              <w:jc w:val="center"/>
              <w:rPr>
                <w:b/>
                <w:noProof/>
              </w:rPr>
            </w:pPr>
            <w:r>
              <w:rPr>
                <w:b/>
                <w:noProof/>
                <w:sz w:val="22"/>
              </w:rPr>
              <w:t>GR ENER SPOLU</w:t>
            </w:r>
          </w:p>
        </w:tc>
        <w:tc>
          <w:tcPr>
            <w:tcW w:w="2094" w:type="dxa"/>
            <w:gridSpan w:val="2"/>
            <w:vAlign w:val="center"/>
          </w:tcPr>
          <w:p w:rsidR="00B90EE1" w:rsidRDefault="003A231F">
            <w:pPr>
              <w:rPr>
                <w:noProof/>
                <w:sz w:val="14"/>
              </w:rPr>
            </w:pPr>
            <w:r>
              <w:rPr>
                <w:noProof/>
                <w:sz w:val="18"/>
              </w:rPr>
              <w:t xml:space="preserve">Rozpočtové prostriedky </w:t>
            </w:r>
          </w:p>
        </w:tc>
        <w:tc>
          <w:tcPr>
            <w:tcW w:w="868" w:type="dxa"/>
            <w:vAlign w:val="center"/>
          </w:tcPr>
          <w:p w:rsidR="00B90EE1" w:rsidRDefault="003A231F">
            <w:pPr>
              <w:spacing w:before="60" w:after="60"/>
              <w:jc w:val="right"/>
              <w:rPr>
                <w:noProof/>
                <w:sz w:val="20"/>
              </w:rPr>
            </w:pPr>
            <w:r>
              <w:rPr>
                <w:noProof/>
                <w:sz w:val="20"/>
              </w:rPr>
              <w:t>0,276</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b/>
                <w:noProof/>
                <w:sz w:val="20"/>
              </w:rPr>
            </w:pPr>
          </w:p>
        </w:tc>
        <w:tc>
          <w:tcPr>
            <w:tcW w:w="1777" w:type="dxa"/>
            <w:vAlign w:val="center"/>
          </w:tcPr>
          <w:p w:rsidR="00B90EE1" w:rsidRDefault="003A231F">
            <w:pPr>
              <w:spacing w:before="20" w:after="20"/>
              <w:jc w:val="right"/>
              <w:rPr>
                <w:b/>
                <w:noProof/>
                <w:sz w:val="20"/>
              </w:rPr>
            </w:pPr>
            <w:r>
              <w:rPr>
                <w:b/>
                <w:noProof/>
                <w:sz w:val="20"/>
              </w:rPr>
              <w:t>0,276</w:t>
            </w:r>
          </w:p>
        </w:tc>
      </w:tr>
      <w:tr w:rsidR="00B90EE1">
        <w:tc>
          <w:tcPr>
            <w:tcW w:w="3960" w:type="dxa"/>
            <w:tcBorders>
              <w:top w:val="nil"/>
              <w:left w:val="nil"/>
              <w:right w:val="nil"/>
            </w:tcBorders>
            <w:vAlign w:val="center"/>
          </w:tcPr>
          <w:p w:rsidR="00B90EE1" w:rsidRDefault="00B90EE1">
            <w:pPr>
              <w:jc w:val="center"/>
              <w:rPr>
                <w:noProof/>
              </w:rPr>
            </w:pPr>
          </w:p>
        </w:tc>
        <w:tc>
          <w:tcPr>
            <w:tcW w:w="1560" w:type="dxa"/>
            <w:tcBorders>
              <w:top w:val="nil"/>
              <w:left w:val="nil"/>
              <w:right w:val="nil"/>
            </w:tcBorders>
          </w:tcPr>
          <w:p w:rsidR="00B90EE1" w:rsidRDefault="00B90EE1">
            <w:pPr>
              <w:rPr>
                <w:noProof/>
                <w:sz w:val="20"/>
              </w:rPr>
            </w:pPr>
          </w:p>
        </w:tc>
        <w:tc>
          <w:tcPr>
            <w:tcW w:w="534" w:type="dxa"/>
            <w:tcBorders>
              <w:top w:val="nil"/>
              <w:left w:val="nil"/>
            </w:tcBorders>
          </w:tcPr>
          <w:p w:rsidR="00B90EE1" w:rsidRDefault="00B90EE1">
            <w:pPr>
              <w:jc w:val="center"/>
              <w:rPr>
                <w:noProof/>
                <w:sz w:val="20"/>
              </w:rPr>
            </w:pP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w:t>
            </w: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 + 1</w:t>
            </w: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 + 2</w:t>
            </w: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 + 3</w:t>
            </w:r>
          </w:p>
        </w:tc>
        <w:tc>
          <w:tcPr>
            <w:tcW w:w="2604" w:type="dxa"/>
            <w:gridSpan w:val="3"/>
            <w:vAlign w:val="center"/>
          </w:tcPr>
          <w:p w:rsidR="00B90EE1" w:rsidRDefault="003A231F">
            <w:pPr>
              <w:jc w:val="center"/>
              <w:rPr>
                <w:b/>
                <w:noProof/>
                <w:sz w:val="18"/>
              </w:rPr>
            </w:pPr>
            <w:r>
              <w:rPr>
                <w:noProof/>
                <w:sz w:val="18"/>
              </w:rPr>
              <w:t xml:space="preserve">Uveďte všetky roky, počas ktorých vplyv trvá (pozri bod 1.6) </w:t>
            </w:r>
          </w:p>
        </w:tc>
        <w:tc>
          <w:tcPr>
            <w:tcW w:w="1777" w:type="dxa"/>
            <w:vAlign w:val="center"/>
          </w:tcPr>
          <w:p w:rsidR="00B90EE1" w:rsidRDefault="003A231F">
            <w:pPr>
              <w:jc w:val="center"/>
              <w:rPr>
                <w:b/>
                <w:noProof/>
                <w:sz w:val="20"/>
              </w:rPr>
            </w:pPr>
            <w:r>
              <w:rPr>
                <w:b/>
                <w:noProof/>
                <w:sz w:val="20"/>
              </w:rPr>
              <w:t>SPOLU</w:t>
            </w:r>
          </w:p>
        </w:tc>
      </w:tr>
      <w:tr w:rsidR="00B90EE1">
        <w:trPr>
          <w:gridAfter w:val="10"/>
          <w:wAfter w:w="9947" w:type="dxa"/>
        </w:trPr>
        <w:tc>
          <w:tcPr>
            <w:tcW w:w="3960" w:type="dxa"/>
            <w:vAlign w:val="center"/>
          </w:tcPr>
          <w:p w:rsidR="00B90EE1" w:rsidRDefault="003A231F">
            <w:pPr>
              <w:spacing w:before="60" w:after="60"/>
              <w:jc w:val="center"/>
              <w:rPr>
                <w:noProof/>
              </w:rPr>
            </w:pPr>
            <w:r>
              <w:rPr>
                <w:noProof/>
                <w:sz w:val="22"/>
              </w:rPr>
              <w:t>GR: FISMA</w:t>
            </w:r>
          </w:p>
        </w:tc>
      </w:tr>
      <w:tr w:rsidR="00B90EE1">
        <w:trPr>
          <w:trHeight w:val="313"/>
        </w:trPr>
        <w:tc>
          <w:tcPr>
            <w:tcW w:w="6054" w:type="dxa"/>
            <w:gridSpan w:val="3"/>
            <w:vAlign w:val="center"/>
          </w:tcPr>
          <w:p w:rsidR="00B90EE1" w:rsidRDefault="003A231F">
            <w:pPr>
              <w:spacing w:before="20" w:after="20"/>
              <w:rPr>
                <w:noProof/>
              </w:rPr>
            </w:pPr>
            <w:r>
              <w:rPr>
                <w:noProof/>
                <w:sz w:val="22"/>
              </w:rPr>
              <w:sym w:font="Wingdings" w:char="F09F"/>
            </w:r>
            <w:r>
              <w:rPr>
                <w:noProof/>
                <w:sz w:val="22"/>
              </w:rPr>
              <w:t xml:space="preserve"> Ľudské zdroje </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b/>
                <w:noProof/>
                <w:sz w:val="20"/>
              </w:rPr>
            </w:pPr>
          </w:p>
        </w:tc>
        <w:tc>
          <w:tcPr>
            <w:tcW w:w="1777" w:type="dxa"/>
            <w:vAlign w:val="center"/>
          </w:tcPr>
          <w:p w:rsidR="00B90EE1" w:rsidRDefault="003A231F">
            <w:pPr>
              <w:spacing w:before="20" w:after="20"/>
              <w:jc w:val="right"/>
              <w:rPr>
                <w:b/>
                <w:noProof/>
                <w:sz w:val="20"/>
              </w:rPr>
            </w:pPr>
            <w:r>
              <w:rPr>
                <w:b/>
                <w:noProof/>
                <w:sz w:val="20"/>
              </w:rPr>
              <w:t>0,276</w:t>
            </w:r>
          </w:p>
        </w:tc>
      </w:tr>
      <w:tr w:rsidR="00B90EE1">
        <w:trPr>
          <w:trHeight w:val="351"/>
        </w:trPr>
        <w:tc>
          <w:tcPr>
            <w:tcW w:w="6054" w:type="dxa"/>
            <w:gridSpan w:val="3"/>
            <w:vAlign w:val="center"/>
          </w:tcPr>
          <w:p w:rsidR="00B90EE1" w:rsidRDefault="003A231F">
            <w:pPr>
              <w:spacing w:before="20" w:after="20"/>
              <w:rPr>
                <w:noProof/>
              </w:rPr>
            </w:pPr>
            <w:r>
              <w:rPr>
                <w:noProof/>
                <w:sz w:val="22"/>
              </w:rPr>
              <w:sym w:font="Wingdings" w:char="F09F"/>
            </w:r>
            <w:r>
              <w:rPr>
                <w:noProof/>
                <w:sz w:val="22"/>
              </w:rPr>
              <w:t xml:space="preserve"> Ostatné administratívne výdavky </w:t>
            </w: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1777" w:type="dxa"/>
            <w:vAlign w:val="center"/>
          </w:tcPr>
          <w:p w:rsidR="00B90EE1" w:rsidRDefault="00B90EE1">
            <w:pPr>
              <w:spacing w:before="20" w:after="20"/>
              <w:jc w:val="right"/>
              <w:rPr>
                <w:b/>
                <w:noProof/>
                <w:sz w:val="20"/>
              </w:rPr>
            </w:pPr>
          </w:p>
        </w:tc>
      </w:tr>
      <w:tr w:rsidR="00B90EE1">
        <w:tc>
          <w:tcPr>
            <w:tcW w:w="3960" w:type="dxa"/>
            <w:vAlign w:val="center"/>
          </w:tcPr>
          <w:p w:rsidR="00B90EE1" w:rsidRDefault="003A231F">
            <w:pPr>
              <w:jc w:val="center"/>
              <w:rPr>
                <w:b/>
                <w:noProof/>
              </w:rPr>
            </w:pPr>
            <w:r>
              <w:rPr>
                <w:b/>
                <w:noProof/>
                <w:sz w:val="22"/>
              </w:rPr>
              <w:t>GR FISMA SPOLU</w:t>
            </w:r>
          </w:p>
        </w:tc>
        <w:tc>
          <w:tcPr>
            <w:tcW w:w="2094" w:type="dxa"/>
            <w:gridSpan w:val="2"/>
            <w:vAlign w:val="center"/>
          </w:tcPr>
          <w:p w:rsidR="00B90EE1" w:rsidRDefault="003A231F">
            <w:pPr>
              <w:rPr>
                <w:noProof/>
                <w:sz w:val="14"/>
              </w:rPr>
            </w:pPr>
            <w:r>
              <w:rPr>
                <w:noProof/>
                <w:sz w:val="18"/>
              </w:rPr>
              <w:t xml:space="preserve">Rozpočtové prostriedky </w:t>
            </w:r>
          </w:p>
        </w:tc>
        <w:tc>
          <w:tcPr>
            <w:tcW w:w="868" w:type="dxa"/>
            <w:vAlign w:val="center"/>
          </w:tcPr>
          <w:p w:rsidR="00B90EE1" w:rsidRDefault="003A231F">
            <w:pPr>
              <w:spacing w:before="60" w:after="60"/>
              <w:jc w:val="right"/>
              <w:rPr>
                <w:noProof/>
                <w:sz w:val="20"/>
              </w:rPr>
            </w:pPr>
            <w:r>
              <w:rPr>
                <w:noProof/>
                <w:sz w:val="20"/>
              </w:rPr>
              <w:t>0,276</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b/>
                <w:noProof/>
                <w:sz w:val="20"/>
              </w:rPr>
            </w:pPr>
          </w:p>
        </w:tc>
        <w:tc>
          <w:tcPr>
            <w:tcW w:w="1777" w:type="dxa"/>
            <w:vAlign w:val="center"/>
          </w:tcPr>
          <w:p w:rsidR="00B90EE1" w:rsidRDefault="003A231F">
            <w:pPr>
              <w:spacing w:before="20" w:after="20"/>
              <w:jc w:val="right"/>
              <w:rPr>
                <w:b/>
                <w:noProof/>
                <w:sz w:val="20"/>
              </w:rPr>
            </w:pPr>
            <w:r>
              <w:rPr>
                <w:b/>
                <w:noProof/>
                <w:sz w:val="20"/>
              </w:rPr>
              <w:t>0,276</w:t>
            </w:r>
          </w:p>
        </w:tc>
      </w:tr>
      <w:tr w:rsidR="00B90EE1">
        <w:tc>
          <w:tcPr>
            <w:tcW w:w="3960" w:type="dxa"/>
            <w:tcBorders>
              <w:top w:val="nil"/>
              <w:left w:val="nil"/>
              <w:right w:val="nil"/>
            </w:tcBorders>
            <w:vAlign w:val="center"/>
          </w:tcPr>
          <w:p w:rsidR="00B90EE1" w:rsidRDefault="00B90EE1">
            <w:pPr>
              <w:jc w:val="center"/>
              <w:rPr>
                <w:noProof/>
              </w:rPr>
            </w:pPr>
          </w:p>
        </w:tc>
        <w:tc>
          <w:tcPr>
            <w:tcW w:w="1560" w:type="dxa"/>
            <w:tcBorders>
              <w:top w:val="nil"/>
              <w:left w:val="nil"/>
              <w:right w:val="nil"/>
            </w:tcBorders>
          </w:tcPr>
          <w:p w:rsidR="00B90EE1" w:rsidRDefault="00B90EE1">
            <w:pPr>
              <w:rPr>
                <w:noProof/>
                <w:sz w:val="20"/>
              </w:rPr>
            </w:pPr>
          </w:p>
        </w:tc>
        <w:tc>
          <w:tcPr>
            <w:tcW w:w="534" w:type="dxa"/>
            <w:tcBorders>
              <w:top w:val="nil"/>
              <w:left w:val="nil"/>
            </w:tcBorders>
          </w:tcPr>
          <w:p w:rsidR="00B90EE1" w:rsidRDefault="00B90EE1">
            <w:pPr>
              <w:jc w:val="center"/>
              <w:rPr>
                <w:noProof/>
                <w:sz w:val="20"/>
              </w:rPr>
            </w:pP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w:t>
            </w: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 + 1</w:t>
            </w: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 + 2</w:t>
            </w: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 + 3</w:t>
            </w:r>
          </w:p>
        </w:tc>
        <w:tc>
          <w:tcPr>
            <w:tcW w:w="2604" w:type="dxa"/>
            <w:gridSpan w:val="3"/>
            <w:vAlign w:val="center"/>
          </w:tcPr>
          <w:p w:rsidR="00B90EE1" w:rsidRDefault="003A231F">
            <w:pPr>
              <w:jc w:val="center"/>
              <w:rPr>
                <w:b/>
                <w:noProof/>
                <w:sz w:val="18"/>
              </w:rPr>
            </w:pPr>
            <w:r>
              <w:rPr>
                <w:noProof/>
                <w:sz w:val="18"/>
              </w:rPr>
              <w:t xml:space="preserve">Uveďte všetky roky, počas ktorých vplyv trvá (pozri bod 1.6) </w:t>
            </w:r>
          </w:p>
        </w:tc>
        <w:tc>
          <w:tcPr>
            <w:tcW w:w="1777" w:type="dxa"/>
            <w:vAlign w:val="center"/>
          </w:tcPr>
          <w:p w:rsidR="00B90EE1" w:rsidRDefault="003A231F">
            <w:pPr>
              <w:jc w:val="center"/>
              <w:rPr>
                <w:b/>
                <w:noProof/>
                <w:sz w:val="20"/>
              </w:rPr>
            </w:pPr>
            <w:r>
              <w:rPr>
                <w:b/>
                <w:noProof/>
                <w:sz w:val="20"/>
              </w:rPr>
              <w:t>SPOLU</w:t>
            </w:r>
          </w:p>
        </w:tc>
      </w:tr>
      <w:tr w:rsidR="00B90EE1">
        <w:trPr>
          <w:gridAfter w:val="10"/>
          <w:wAfter w:w="9947" w:type="dxa"/>
        </w:trPr>
        <w:tc>
          <w:tcPr>
            <w:tcW w:w="3960" w:type="dxa"/>
            <w:vAlign w:val="center"/>
          </w:tcPr>
          <w:p w:rsidR="00B90EE1" w:rsidRDefault="003A231F">
            <w:pPr>
              <w:spacing w:before="60" w:after="60"/>
              <w:jc w:val="center"/>
              <w:rPr>
                <w:noProof/>
              </w:rPr>
            </w:pPr>
            <w:r>
              <w:rPr>
                <w:noProof/>
                <w:sz w:val="22"/>
              </w:rPr>
              <w:t>GR: GROW</w:t>
            </w:r>
          </w:p>
        </w:tc>
      </w:tr>
      <w:tr w:rsidR="00B90EE1">
        <w:trPr>
          <w:trHeight w:val="313"/>
        </w:trPr>
        <w:tc>
          <w:tcPr>
            <w:tcW w:w="6054" w:type="dxa"/>
            <w:gridSpan w:val="3"/>
            <w:vAlign w:val="center"/>
          </w:tcPr>
          <w:p w:rsidR="00B90EE1" w:rsidRDefault="003A231F">
            <w:pPr>
              <w:spacing w:before="20" w:after="20"/>
              <w:rPr>
                <w:noProof/>
              </w:rPr>
            </w:pPr>
            <w:r>
              <w:rPr>
                <w:noProof/>
                <w:sz w:val="22"/>
              </w:rPr>
              <w:sym w:font="Wingdings" w:char="F09F"/>
            </w:r>
            <w:r>
              <w:rPr>
                <w:noProof/>
                <w:sz w:val="22"/>
              </w:rPr>
              <w:t xml:space="preserve"> Ľudské zdroje </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b/>
                <w:noProof/>
                <w:sz w:val="20"/>
              </w:rPr>
            </w:pPr>
          </w:p>
        </w:tc>
        <w:tc>
          <w:tcPr>
            <w:tcW w:w="1777" w:type="dxa"/>
            <w:vAlign w:val="center"/>
          </w:tcPr>
          <w:p w:rsidR="00B90EE1" w:rsidRDefault="003A231F">
            <w:pPr>
              <w:spacing w:before="20" w:after="20"/>
              <w:jc w:val="right"/>
              <w:rPr>
                <w:b/>
                <w:noProof/>
                <w:sz w:val="20"/>
              </w:rPr>
            </w:pPr>
            <w:r>
              <w:rPr>
                <w:b/>
                <w:noProof/>
                <w:sz w:val="20"/>
              </w:rPr>
              <w:t>0,276</w:t>
            </w:r>
          </w:p>
        </w:tc>
      </w:tr>
      <w:tr w:rsidR="00B90EE1">
        <w:trPr>
          <w:trHeight w:val="351"/>
        </w:trPr>
        <w:tc>
          <w:tcPr>
            <w:tcW w:w="6054" w:type="dxa"/>
            <w:gridSpan w:val="3"/>
            <w:vAlign w:val="center"/>
          </w:tcPr>
          <w:p w:rsidR="00B90EE1" w:rsidRDefault="003A231F">
            <w:pPr>
              <w:spacing w:before="20" w:after="20"/>
              <w:rPr>
                <w:noProof/>
              </w:rPr>
            </w:pPr>
            <w:r>
              <w:rPr>
                <w:noProof/>
                <w:sz w:val="22"/>
              </w:rPr>
              <w:sym w:font="Wingdings" w:char="F09F"/>
            </w:r>
            <w:r>
              <w:rPr>
                <w:noProof/>
                <w:sz w:val="22"/>
              </w:rPr>
              <w:t xml:space="preserve"> Ostatné administratívne výdavky </w:t>
            </w: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1777" w:type="dxa"/>
            <w:vAlign w:val="center"/>
          </w:tcPr>
          <w:p w:rsidR="00B90EE1" w:rsidRDefault="00B90EE1">
            <w:pPr>
              <w:spacing w:before="20" w:after="20"/>
              <w:jc w:val="right"/>
              <w:rPr>
                <w:b/>
                <w:noProof/>
                <w:sz w:val="20"/>
              </w:rPr>
            </w:pPr>
          </w:p>
        </w:tc>
      </w:tr>
      <w:tr w:rsidR="00B90EE1">
        <w:tc>
          <w:tcPr>
            <w:tcW w:w="3960" w:type="dxa"/>
            <w:vAlign w:val="center"/>
          </w:tcPr>
          <w:p w:rsidR="00B90EE1" w:rsidRDefault="003A231F">
            <w:pPr>
              <w:jc w:val="center"/>
              <w:rPr>
                <w:b/>
                <w:noProof/>
              </w:rPr>
            </w:pPr>
            <w:r>
              <w:rPr>
                <w:b/>
                <w:noProof/>
                <w:sz w:val="22"/>
              </w:rPr>
              <w:t>GR GROW SPOLU</w:t>
            </w:r>
          </w:p>
        </w:tc>
        <w:tc>
          <w:tcPr>
            <w:tcW w:w="2094" w:type="dxa"/>
            <w:gridSpan w:val="2"/>
            <w:vAlign w:val="center"/>
          </w:tcPr>
          <w:p w:rsidR="00B90EE1" w:rsidRDefault="003A231F">
            <w:pPr>
              <w:rPr>
                <w:noProof/>
                <w:sz w:val="14"/>
              </w:rPr>
            </w:pPr>
            <w:r>
              <w:rPr>
                <w:noProof/>
                <w:sz w:val="18"/>
              </w:rPr>
              <w:t xml:space="preserve">Rozpočtové prostriedky </w:t>
            </w:r>
          </w:p>
        </w:tc>
        <w:tc>
          <w:tcPr>
            <w:tcW w:w="868" w:type="dxa"/>
            <w:vAlign w:val="center"/>
          </w:tcPr>
          <w:p w:rsidR="00B90EE1" w:rsidRDefault="003A231F">
            <w:pPr>
              <w:spacing w:before="60" w:after="60"/>
              <w:jc w:val="right"/>
              <w:rPr>
                <w:noProof/>
                <w:sz w:val="20"/>
              </w:rPr>
            </w:pPr>
            <w:r>
              <w:rPr>
                <w:noProof/>
                <w:sz w:val="20"/>
              </w:rPr>
              <w:t>0,276</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b/>
                <w:noProof/>
                <w:sz w:val="20"/>
              </w:rPr>
            </w:pPr>
          </w:p>
        </w:tc>
        <w:tc>
          <w:tcPr>
            <w:tcW w:w="1777" w:type="dxa"/>
            <w:vAlign w:val="center"/>
          </w:tcPr>
          <w:p w:rsidR="00B90EE1" w:rsidRDefault="003A231F">
            <w:pPr>
              <w:spacing w:before="20" w:after="20"/>
              <w:jc w:val="right"/>
              <w:rPr>
                <w:b/>
                <w:noProof/>
                <w:sz w:val="20"/>
              </w:rPr>
            </w:pPr>
            <w:r>
              <w:rPr>
                <w:b/>
                <w:noProof/>
                <w:sz w:val="20"/>
              </w:rPr>
              <w:t>0,276</w:t>
            </w:r>
          </w:p>
        </w:tc>
      </w:tr>
      <w:tr w:rsidR="00B90EE1">
        <w:tc>
          <w:tcPr>
            <w:tcW w:w="3960" w:type="dxa"/>
            <w:tcBorders>
              <w:top w:val="nil"/>
              <w:left w:val="nil"/>
              <w:right w:val="nil"/>
            </w:tcBorders>
            <w:vAlign w:val="center"/>
          </w:tcPr>
          <w:p w:rsidR="00B90EE1" w:rsidRDefault="00B90EE1">
            <w:pPr>
              <w:jc w:val="center"/>
              <w:rPr>
                <w:noProof/>
              </w:rPr>
            </w:pPr>
          </w:p>
        </w:tc>
        <w:tc>
          <w:tcPr>
            <w:tcW w:w="1560" w:type="dxa"/>
            <w:tcBorders>
              <w:top w:val="nil"/>
              <w:left w:val="nil"/>
              <w:right w:val="nil"/>
            </w:tcBorders>
          </w:tcPr>
          <w:p w:rsidR="00B90EE1" w:rsidRDefault="00B90EE1">
            <w:pPr>
              <w:rPr>
                <w:noProof/>
                <w:sz w:val="20"/>
              </w:rPr>
            </w:pPr>
          </w:p>
        </w:tc>
        <w:tc>
          <w:tcPr>
            <w:tcW w:w="534" w:type="dxa"/>
            <w:tcBorders>
              <w:top w:val="nil"/>
              <w:left w:val="nil"/>
            </w:tcBorders>
          </w:tcPr>
          <w:p w:rsidR="00B90EE1" w:rsidRDefault="00B90EE1">
            <w:pPr>
              <w:jc w:val="center"/>
              <w:rPr>
                <w:noProof/>
                <w:sz w:val="20"/>
              </w:rPr>
            </w:pP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w:t>
            </w: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 + 1</w:t>
            </w: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 + 2</w:t>
            </w: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 + 3</w:t>
            </w:r>
          </w:p>
        </w:tc>
        <w:tc>
          <w:tcPr>
            <w:tcW w:w="2604" w:type="dxa"/>
            <w:gridSpan w:val="3"/>
            <w:vAlign w:val="center"/>
          </w:tcPr>
          <w:p w:rsidR="00B90EE1" w:rsidRDefault="003A231F">
            <w:pPr>
              <w:jc w:val="center"/>
              <w:rPr>
                <w:b/>
                <w:noProof/>
                <w:sz w:val="18"/>
              </w:rPr>
            </w:pPr>
            <w:r>
              <w:rPr>
                <w:noProof/>
                <w:sz w:val="18"/>
              </w:rPr>
              <w:t xml:space="preserve">Uveďte všetky roky, počas ktorých vplyv trvá (pozri bod 1.6) </w:t>
            </w:r>
          </w:p>
        </w:tc>
        <w:tc>
          <w:tcPr>
            <w:tcW w:w="1777" w:type="dxa"/>
            <w:vAlign w:val="center"/>
          </w:tcPr>
          <w:p w:rsidR="00B90EE1" w:rsidRDefault="003A231F">
            <w:pPr>
              <w:jc w:val="center"/>
              <w:rPr>
                <w:b/>
                <w:noProof/>
                <w:sz w:val="20"/>
              </w:rPr>
            </w:pPr>
            <w:r>
              <w:rPr>
                <w:b/>
                <w:noProof/>
                <w:sz w:val="20"/>
              </w:rPr>
              <w:t>SPOLU</w:t>
            </w:r>
          </w:p>
        </w:tc>
      </w:tr>
      <w:tr w:rsidR="00B90EE1">
        <w:trPr>
          <w:gridAfter w:val="10"/>
          <w:wAfter w:w="9947" w:type="dxa"/>
        </w:trPr>
        <w:tc>
          <w:tcPr>
            <w:tcW w:w="3960" w:type="dxa"/>
            <w:vAlign w:val="center"/>
          </w:tcPr>
          <w:p w:rsidR="00B90EE1" w:rsidRDefault="003A231F">
            <w:pPr>
              <w:spacing w:before="60" w:after="60"/>
              <w:jc w:val="center"/>
              <w:rPr>
                <w:noProof/>
              </w:rPr>
            </w:pPr>
            <w:r>
              <w:rPr>
                <w:noProof/>
                <w:sz w:val="22"/>
              </w:rPr>
              <w:t>GR: MOVE</w:t>
            </w:r>
          </w:p>
        </w:tc>
      </w:tr>
      <w:tr w:rsidR="00B90EE1">
        <w:trPr>
          <w:trHeight w:val="313"/>
        </w:trPr>
        <w:tc>
          <w:tcPr>
            <w:tcW w:w="6054" w:type="dxa"/>
            <w:gridSpan w:val="3"/>
            <w:vAlign w:val="center"/>
          </w:tcPr>
          <w:p w:rsidR="00B90EE1" w:rsidRDefault="003A231F">
            <w:pPr>
              <w:spacing w:before="20" w:after="20"/>
              <w:rPr>
                <w:noProof/>
              </w:rPr>
            </w:pPr>
            <w:r>
              <w:rPr>
                <w:noProof/>
                <w:sz w:val="22"/>
              </w:rPr>
              <w:sym w:font="Wingdings" w:char="F09F"/>
            </w:r>
            <w:r>
              <w:rPr>
                <w:noProof/>
                <w:sz w:val="22"/>
              </w:rPr>
              <w:t xml:space="preserve"> Ľudské zdroje </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b/>
                <w:noProof/>
                <w:sz w:val="20"/>
              </w:rPr>
            </w:pPr>
          </w:p>
        </w:tc>
        <w:tc>
          <w:tcPr>
            <w:tcW w:w="1777" w:type="dxa"/>
            <w:vAlign w:val="center"/>
          </w:tcPr>
          <w:p w:rsidR="00B90EE1" w:rsidRDefault="003A231F">
            <w:pPr>
              <w:spacing w:before="20" w:after="20"/>
              <w:jc w:val="right"/>
              <w:rPr>
                <w:b/>
                <w:noProof/>
                <w:sz w:val="20"/>
              </w:rPr>
            </w:pPr>
            <w:r>
              <w:rPr>
                <w:b/>
                <w:noProof/>
                <w:sz w:val="20"/>
              </w:rPr>
              <w:t>0,276</w:t>
            </w:r>
          </w:p>
        </w:tc>
      </w:tr>
      <w:tr w:rsidR="00B90EE1">
        <w:trPr>
          <w:trHeight w:val="351"/>
        </w:trPr>
        <w:tc>
          <w:tcPr>
            <w:tcW w:w="6054" w:type="dxa"/>
            <w:gridSpan w:val="3"/>
            <w:vAlign w:val="center"/>
          </w:tcPr>
          <w:p w:rsidR="00B90EE1" w:rsidRDefault="003A231F">
            <w:pPr>
              <w:spacing w:before="20" w:after="20"/>
              <w:rPr>
                <w:noProof/>
              </w:rPr>
            </w:pPr>
            <w:r>
              <w:rPr>
                <w:noProof/>
                <w:sz w:val="22"/>
              </w:rPr>
              <w:lastRenderedPageBreak/>
              <w:sym w:font="Wingdings" w:char="F09F"/>
            </w:r>
            <w:r>
              <w:rPr>
                <w:noProof/>
                <w:sz w:val="22"/>
              </w:rPr>
              <w:t xml:space="preserve"> Ostatné administratívne výdavky </w:t>
            </w: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1777" w:type="dxa"/>
            <w:vAlign w:val="center"/>
          </w:tcPr>
          <w:p w:rsidR="00B90EE1" w:rsidRDefault="00B90EE1">
            <w:pPr>
              <w:spacing w:before="20" w:after="20"/>
              <w:jc w:val="right"/>
              <w:rPr>
                <w:b/>
                <w:noProof/>
                <w:sz w:val="20"/>
              </w:rPr>
            </w:pPr>
          </w:p>
        </w:tc>
      </w:tr>
      <w:tr w:rsidR="00B90EE1">
        <w:tc>
          <w:tcPr>
            <w:tcW w:w="3960" w:type="dxa"/>
            <w:vAlign w:val="center"/>
          </w:tcPr>
          <w:p w:rsidR="00B90EE1" w:rsidRDefault="003A231F">
            <w:pPr>
              <w:jc w:val="center"/>
              <w:rPr>
                <w:b/>
                <w:noProof/>
              </w:rPr>
            </w:pPr>
            <w:r>
              <w:rPr>
                <w:b/>
                <w:noProof/>
                <w:sz w:val="22"/>
              </w:rPr>
              <w:t>GR MOVE SPOLU</w:t>
            </w:r>
          </w:p>
        </w:tc>
        <w:tc>
          <w:tcPr>
            <w:tcW w:w="2094" w:type="dxa"/>
            <w:gridSpan w:val="2"/>
            <w:vAlign w:val="center"/>
          </w:tcPr>
          <w:p w:rsidR="00B90EE1" w:rsidRDefault="003A231F">
            <w:pPr>
              <w:rPr>
                <w:noProof/>
                <w:sz w:val="14"/>
              </w:rPr>
            </w:pPr>
            <w:r>
              <w:rPr>
                <w:noProof/>
                <w:sz w:val="18"/>
              </w:rPr>
              <w:t xml:space="preserve">Rozpočtové prostriedky </w:t>
            </w:r>
          </w:p>
        </w:tc>
        <w:tc>
          <w:tcPr>
            <w:tcW w:w="868" w:type="dxa"/>
            <w:vAlign w:val="center"/>
          </w:tcPr>
          <w:p w:rsidR="00B90EE1" w:rsidRDefault="003A231F">
            <w:pPr>
              <w:spacing w:before="60" w:after="60"/>
              <w:jc w:val="right"/>
              <w:rPr>
                <w:noProof/>
                <w:sz w:val="20"/>
              </w:rPr>
            </w:pPr>
            <w:r>
              <w:rPr>
                <w:noProof/>
                <w:sz w:val="20"/>
              </w:rPr>
              <w:t>0,276</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b/>
                <w:noProof/>
                <w:sz w:val="20"/>
              </w:rPr>
            </w:pPr>
          </w:p>
        </w:tc>
        <w:tc>
          <w:tcPr>
            <w:tcW w:w="1777" w:type="dxa"/>
            <w:vAlign w:val="center"/>
          </w:tcPr>
          <w:p w:rsidR="00B90EE1" w:rsidRDefault="003A231F">
            <w:pPr>
              <w:spacing w:before="20" w:after="20"/>
              <w:jc w:val="right"/>
              <w:rPr>
                <w:b/>
                <w:noProof/>
                <w:sz w:val="20"/>
              </w:rPr>
            </w:pPr>
            <w:r>
              <w:rPr>
                <w:b/>
                <w:noProof/>
                <w:sz w:val="20"/>
              </w:rPr>
              <w:t>0,276</w:t>
            </w:r>
          </w:p>
        </w:tc>
      </w:tr>
      <w:tr w:rsidR="00B90EE1">
        <w:tc>
          <w:tcPr>
            <w:tcW w:w="3960" w:type="dxa"/>
            <w:tcBorders>
              <w:top w:val="nil"/>
              <w:left w:val="nil"/>
              <w:right w:val="nil"/>
            </w:tcBorders>
            <w:vAlign w:val="center"/>
          </w:tcPr>
          <w:p w:rsidR="00B90EE1" w:rsidRDefault="00B90EE1">
            <w:pPr>
              <w:jc w:val="center"/>
              <w:rPr>
                <w:noProof/>
              </w:rPr>
            </w:pPr>
          </w:p>
        </w:tc>
        <w:tc>
          <w:tcPr>
            <w:tcW w:w="1560" w:type="dxa"/>
            <w:tcBorders>
              <w:top w:val="nil"/>
              <w:left w:val="nil"/>
              <w:right w:val="nil"/>
            </w:tcBorders>
          </w:tcPr>
          <w:p w:rsidR="00B90EE1" w:rsidRDefault="00B90EE1">
            <w:pPr>
              <w:rPr>
                <w:noProof/>
                <w:sz w:val="20"/>
              </w:rPr>
            </w:pPr>
          </w:p>
        </w:tc>
        <w:tc>
          <w:tcPr>
            <w:tcW w:w="534" w:type="dxa"/>
            <w:tcBorders>
              <w:top w:val="nil"/>
              <w:left w:val="nil"/>
            </w:tcBorders>
          </w:tcPr>
          <w:p w:rsidR="00B90EE1" w:rsidRDefault="00B90EE1">
            <w:pPr>
              <w:jc w:val="center"/>
              <w:rPr>
                <w:noProof/>
                <w:sz w:val="20"/>
              </w:rPr>
            </w:pP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w:t>
            </w: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 + 1</w:t>
            </w: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 + 2</w:t>
            </w: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 + 3</w:t>
            </w:r>
          </w:p>
        </w:tc>
        <w:tc>
          <w:tcPr>
            <w:tcW w:w="2604" w:type="dxa"/>
            <w:gridSpan w:val="3"/>
            <w:vAlign w:val="center"/>
          </w:tcPr>
          <w:p w:rsidR="00B90EE1" w:rsidRDefault="003A231F">
            <w:pPr>
              <w:jc w:val="center"/>
              <w:rPr>
                <w:b/>
                <w:noProof/>
                <w:sz w:val="18"/>
              </w:rPr>
            </w:pPr>
            <w:r>
              <w:rPr>
                <w:noProof/>
                <w:sz w:val="18"/>
              </w:rPr>
              <w:t xml:space="preserve">Uveďte všetky roky, počas ktorých vplyv trvá (pozri bod 1.6) </w:t>
            </w:r>
          </w:p>
        </w:tc>
        <w:tc>
          <w:tcPr>
            <w:tcW w:w="1777" w:type="dxa"/>
            <w:vAlign w:val="center"/>
          </w:tcPr>
          <w:p w:rsidR="00B90EE1" w:rsidRDefault="003A231F">
            <w:pPr>
              <w:jc w:val="center"/>
              <w:rPr>
                <w:b/>
                <w:noProof/>
                <w:sz w:val="20"/>
              </w:rPr>
            </w:pPr>
            <w:r>
              <w:rPr>
                <w:b/>
                <w:noProof/>
                <w:sz w:val="20"/>
              </w:rPr>
              <w:t>SPOLU</w:t>
            </w:r>
          </w:p>
        </w:tc>
      </w:tr>
      <w:tr w:rsidR="00B90EE1">
        <w:trPr>
          <w:gridAfter w:val="10"/>
          <w:wAfter w:w="9947" w:type="dxa"/>
        </w:trPr>
        <w:tc>
          <w:tcPr>
            <w:tcW w:w="3960" w:type="dxa"/>
            <w:vAlign w:val="center"/>
          </w:tcPr>
          <w:p w:rsidR="00B90EE1" w:rsidRDefault="003A231F">
            <w:pPr>
              <w:spacing w:before="60" w:after="60"/>
              <w:jc w:val="center"/>
              <w:rPr>
                <w:noProof/>
              </w:rPr>
            </w:pPr>
            <w:r>
              <w:rPr>
                <w:noProof/>
                <w:sz w:val="22"/>
              </w:rPr>
              <w:t>GR: RTD</w:t>
            </w:r>
          </w:p>
        </w:tc>
      </w:tr>
      <w:tr w:rsidR="00B90EE1">
        <w:trPr>
          <w:trHeight w:val="313"/>
        </w:trPr>
        <w:tc>
          <w:tcPr>
            <w:tcW w:w="6054" w:type="dxa"/>
            <w:gridSpan w:val="3"/>
            <w:vAlign w:val="center"/>
          </w:tcPr>
          <w:p w:rsidR="00B90EE1" w:rsidRDefault="003A231F">
            <w:pPr>
              <w:spacing w:before="20" w:after="20"/>
              <w:rPr>
                <w:noProof/>
              </w:rPr>
            </w:pPr>
            <w:r>
              <w:rPr>
                <w:noProof/>
                <w:sz w:val="22"/>
              </w:rPr>
              <w:sym w:font="Wingdings" w:char="F09F"/>
            </w:r>
            <w:r>
              <w:rPr>
                <w:noProof/>
                <w:sz w:val="22"/>
              </w:rPr>
              <w:t xml:space="preserve"> Ľudské zdroje </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b/>
                <w:noProof/>
                <w:sz w:val="20"/>
              </w:rPr>
            </w:pPr>
          </w:p>
        </w:tc>
        <w:tc>
          <w:tcPr>
            <w:tcW w:w="1777" w:type="dxa"/>
            <w:vAlign w:val="center"/>
          </w:tcPr>
          <w:p w:rsidR="00B90EE1" w:rsidRDefault="003A231F">
            <w:pPr>
              <w:spacing w:before="20" w:after="20"/>
              <w:jc w:val="right"/>
              <w:rPr>
                <w:b/>
                <w:noProof/>
                <w:sz w:val="20"/>
              </w:rPr>
            </w:pPr>
            <w:r>
              <w:rPr>
                <w:b/>
                <w:noProof/>
                <w:sz w:val="20"/>
              </w:rPr>
              <w:t>0,276</w:t>
            </w:r>
          </w:p>
        </w:tc>
      </w:tr>
      <w:tr w:rsidR="00B90EE1">
        <w:trPr>
          <w:trHeight w:val="351"/>
        </w:trPr>
        <w:tc>
          <w:tcPr>
            <w:tcW w:w="6054" w:type="dxa"/>
            <w:gridSpan w:val="3"/>
            <w:vAlign w:val="center"/>
          </w:tcPr>
          <w:p w:rsidR="00B90EE1" w:rsidRDefault="003A231F">
            <w:pPr>
              <w:spacing w:before="20" w:after="20"/>
              <w:rPr>
                <w:noProof/>
              </w:rPr>
            </w:pPr>
            <w:r>
              <w:rPr>
                <w:noProof/>
                <w:sz w:val="22"/>
              </w:rPr>
              <w:sym w:font="Wingdings" w:char="F09F"/>
            </w:r>
            <w:r>
              <w:rPr>
                <w:noProof/>
                <w:sz w:val="22"/>
              </w:rPr>
              <w:t xml:space="preserve"> Ostatné administratívne výdavky </w:t>
            </w: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1777" w:type="dxa"/>
            <w:vAlign w:val="center"/>
          </w:tcPr>
          <w:p w:rsidR="00B90EE1" w:rsidRDefault="00B90EE1">
            <w:pPr>
              <w:spacing w:before="20" w:after="20"/>
              <w:jc w:val="right"/>
              <w:rPr>
                <w:b/>
                <w:noProof/>
                <w:sz w:val="20"/>
              </w:rPr>
            </w:pPr>
          </w:p>
        </w:tc>
      </w:tr>
      <w:tr w:rsidR="00B90EE1">
        <w:tc>
          <w:tcPr>
            <w:tcW w:w="3960" w:type="dxa"/>
            <w:vAlign w:val="center"/>
          </w:tcPr>
          <w:p w:rsidR="00B90EE1" w:rsidRDefault="003A231F">
            <w:pPr>
              <w:jc w:val="center"/>
              <w:rPr>
                <w:b/>
                <w:noProof/>
              </w:rPr>
            </w:pPr>
            <w:r>
              <w:rPr>
                <w:b/>
                <w:noProof/>
                <w:sz w:val="22"/>
              </w:rPr>
              <w:t>GR RTD SPOLU</w:t>
            </w:r>
          </w:p>
        </w:tc>
        <w:tc>
          <w:tcPr>
            <w:tcW w:w="2094" w:type="dxa"/>
            <w:gridSpan w:val="2"/>
            <w:vAlign w:val="center"/>
          </w:tcPr>
          <w:p w:rsidR="00B90EE1" w:rsidRDefault="003A231F">
            <w:pPr>
              <w:rPr>
                <w:noProof/>
                <w:sz w:val="14"/>
              </w:rPr>
            </w:pPr>
            <w:r>
              <w:rPr>
                <w:noProof/>
                <w:sz w:val="18"/>
              </w:rPr>
              <w:t xml:space="preserve">Rozpočtové prostriedky </w:t>
            </w:r>
          </w:p>
        </w:tc>
        <w:tc>
          <w:tcPr>
            <w:tcW w:w="868" w:type="dxa"/>
            <w:vAlign w:val="center"/>
          </w:tcPr>
          <w:p w:rsidR="00B90EE1" w:rsidRDefault="003A231F">
            <w:pPr>
              <w:spacing w:before="60" w:after="60"/>
              <w:jc w:val="right"/>
              <w:rPr>
                <w:noProof/>
                <w:sz w:val="20"/>
              </w:rPr>
            </w:pPr>
            <w:r>
              <w:rPr>
                <w:noProof/>
                <w:sz w:val="20"/>
              </w:rPr>
              <w:t>0,276</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3A231F">
            <w:pPr>
              <w:spacing w:before="20" w:after="20"/>
              <w:jc w:val="right"/>
              <w:rPr>
                <w:noProof/>
                <w:sz w:val="20"/>
              </w:rPr>
            </w:pPr>
            <w:r>
              <w:rPr>
                <w:noProof/>
                <w:sz w:val="20"/>
              </w:rPr>
              <w:t>0,276</w:t>
            </w: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b/>
                <w:noProof/>
                <w:sz w:val="20"/>
              </w:rPr>
            </w:pPr>
          </w:p>
        </w:tc>
        <w:tc>
          <w:tcPr>
            <w:tcW w:w="1777" w:type="dxa"/>
            <w:vAlign w:val="center"/>
          </w:tcPr>
          <w:p w:rsidR="00B90EE1" w:rsidRDefault="003A231F">
            <w:pPr>
              <w:spacing w:before="20" w:after="20"/>
              <w:jc w:val="right"/>
              <w:rPr>
                <w:b/>
                <w:noProof/>
                <w:sz w:val="20"/>
              </w:rPr>
            </w:pPr>
            <w:r>
              <w:rPr>
                <w:b/>
                <w:noProof/>
                <w:sz w:val="20"/>
              </w:rPr>
              <w:t>0,276</w:t>
            </w:r>
          </w:p>
        </w:tc>
      </w:tr>
      <w:tr w:rsidR="00B90EE1">
        <w:tc>
          <w:tcPr>
            <w:tcW w:w="3960" w:type="dxa"/>
            <w:tcBorders>
              <w:top w:val="nil"/>
              <w:left w:val="nil"/>
              <w:right w:val="nil"/>
            </w:tcBorders>
            <w:vAlign w:val="center"/>
          </w:tcPr>
          <w:p w:rsidR="00B90EE1" w:rsidRDefault="00B90EE1">
            <w:pPr>
              <w:jc w:val="center"/>
              <w:rPr>
                <w:noProof/>
              </w:rPr>
            </w:pPr>
          </w:p>
        </w:tc>
        <w:tc>
          <w:tcPr>
            <w:tcW w:w="1560" w:type="dxa"/>
            <w:tcBorders>
              <w:top w:val="nil"/>
              <w:left w:val="nil"/>
              <w:right w:val="nil"/>
            </w:tcBorders>
          </w:tcPr>
          <w:p w:rsidR="00B90EE1" w:rsidRDefault="00B90EE1">
            <w:pPr>
              <w:rPr>
                <w:noProof/>
                <w:sz w:val="20"/>
              </w:rPr>
            </w:pPr>
          </w:p>
        </w:tc>
        <w:tc>
          <w:tcPr>
            <w:tcW w:w="534" w:type="dxa"/>
            <w:tcBorders>
              <w:top w:val="nil"/>
              <w:left w:val="nil"/>
            </w:tcBorders>
          </w:tcPr>
          <w:p w:rsidR="00B90EE1" w:rsidRDefault="00B90EE1">
            <w:pPr>
              <w:jc w:val="center"/>
              <w:rPr>
                <w:noProof/>
                <w:sz w:val="20"/>
              </w:rPr>
            </w:pP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w:t>
            </w: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 + 1</w:t>
            </w: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 + 2</w:t>
            </w: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 + 3</w:t>
            </w:r>
          </w:p>
        </w:tc>
        <w:tc>
          <w:tcPr>
            <w:tcW w:w="2604" w:type="dxa"/>
            <w:gridSpan w:val="3"/>
            <w:vAlign w:val="center"/>
          </w:tcPr>
          <w:p w:rsidR="00B90EE1" w:rsidRDefault="003A231F">
            <w:pPr>
              <w:jc w:val="center"/>
              <w:rPr>
                <w:b/>
                <w:noProof/>
                <w:sz w:val="18"/>
              </w:rPr>
            </w:pPr>
            <w:r>
              <w:rPr>
                <w:noProof/>
                <w:sz w:val="18"/>
              </w:rPr>
              <w:t xml:space="preserve">Uveďte všetky roky, počas ktorých vplyv trvá (pozri bod 1.6) </w:t>
            </w:r>
          </w:p>
        </w:tc>
        <w:tc>
          <w:tcPr>
            <w:tcW w:w="1777" w:type="dxa"/>
            <w:vAlign w:val="center"/>
          </w:tcPr>
          <w:p w:rsidR="00B90EE1" w:rsidRDefault="003A231F">
            <w:pPr>
              <w:jc w:val="center"/>
              <w:rPr>
                <w:b/>
                <w:noProof/>
                <w:sz w:val="20"/>
              </w:rPr>
            </w:pPr>
            <w:r>
              <w:rPr>
                <w:b/>
                <w:noProof/>
                <w:sz w:val="20"/>
              </w:rPr>
              <w:t>SPOLU</w:t>
            </w:r>
          </w:p>
        </w:tc>
      </w:tr>
      <w:tr w:rsidR="00B90EE1">
        <w:trPr>
          <w:gridAfter w:val="10"/>
          <w:wAfter w:w="9947" w:type="dxa"/>
        </w:trPr>
        <w:tc>
          <w:tcPr>
            <w:tcW w:w="3960" w:type="dxa"/>
            <w:vAlign w:val="center"/>
          </w:tcPr>
          <w:p w:rsidR="00B90EE1" w:rsidRDefault="003A231F">
            <w:pPr>
              <w:spacing w:before="60" w:after="60"/>
              <w:jc w:val="center"/>
              <w:rPr>
                <w:noProof/>
              </w:rPr>
            </w:pPr>
            <w:r>
              <w:rPr>
                <w:noProof/>
                <w:sz w:val="22"/>
              </w:rPr>
              <w:t>GR: TRADE-DEL</w:t>
            </w:r>
          </w:p>
        </w:tc>
      </w:tr>
      <w:tr w:rsidR="00B90EE1">
        <w:trPr>
          <w:trHeight w:val="313"/>
        </w:trPr>
        <w:tc>
          <w:tcPr>
            <w:tcW w:w="6054" w:type="dxa"/>
            <w:gridSpan w:val="3"/>
            <w:vAlign w:val="center"/>
          </w:tcPr>
          <w:p w:rsidR="00B90EE1" w:rsidRDefault="003A231F">
            <w:pPr>
              <w:spacing w:before="20" w:after="20"/>
              <w:rPr>
                <w:noProof/>
              </w:rPr>
            </w:pPr>
            <w:r>
              <w:rPr>
                <w:noProof/>
                <w:sz w:val="22"/>
              </w:rPr>
              <w:sym w:font="Wingdings" w:char="F09F"/>
            </w:r>
            <w:r>
              <w:rPr>
                <w:noProof/>
                <w:sz w:val="22"/>
              </w:rPr>
              <w:t xml:space="preserve"> Ľudské zdroje </w:t>
            </w:r>
          </w:p>
        </w:tc>
        <w:tc>
          <w:tcPr>
            <w:tcW w:w="868" w:type="dxa"/>
            <w:vAlign w:val="center"/>
          </w:tcPr>
          <w:p w:rsidR="00B90EE1" w:rsidRDefault="003A231F">
            <w:pPr>
              <w:spacing w:before="20" w:after="20"/>
              <w:jc w:val="right"/>
              <w:rPr>
                <w:noProof/>
                <w:sz w:val="20"/>
              </w:rPr>
            </w:pPr>
            <w:r>
              <w:rPr>
                <w:noProof/>
                <w:sz w:val="20"/>
              </w:rPr>
              <w:t>0,238</w:t>
            </w:r>
          </w:p>
        </w:tc>
        <w:tc>
          <w:tcPr>
            <w:tcW w:w="868" w:type="dxa"/>
            <w:vAlign w:val="center"/>
          </w:tcPr>
          <w:p w:rsidR="00B90EE1" w:rsidRDefault="003A231F">
            <w:pPr>
              <w:spacing w:before="20" w:after="20"/>
              <w:jc w:val="right"/>
              <w:rPr>
                <w:noProof/>
                <w:sz w:val="20"/>
              </w:rPr>
            </w:pPr>
            <w:r>
              <w:rPr>
                <w:noProof/>
                <w:sz w:val="20"/>
              </w:rPr>
              <w:t>0,238</w:t>
            </w:r>
          </w:p>
        </w:tc>
        <w:tc>
          <w:tcPr>
            <w:tcW w:w="868" w:type="dxa"/>
            <w:vAlign w:val="center"/>
          </w:tcPr>
          <w:p w:rsidR="00B90EE1" w:rsidRDefault="003A231F">
            <w:pPr>
              <w:spacing w:before="20" w:after="20"/>
              <w:jc w:val="right"/>
              <w:rPr>
                <w:noProof/>
                <w:sz w:val="20"/>
              </w:rPr>
            </w:pPr>
            <w:r>
              <w:rPr>
                <w:noProof/>
                <w:sz w:val="20"/>
              </w:rPr>
              <w:t>0,238</w:t>
            </w:r>
          </w:p>
        </w:tc>
        <w:tc>
          <w:tcPr>
            <w:tcW w:w="868" w:type="dxa"/>
            <w:vAlign w:val="center"/>
          </w:tcPr>
          <w:p w:rsidR="00B90EE1" w:rsidRDefault="003A231F">
            <w:pPr>
              <w:spacing w:before="20" w:after="20"/>
              <w:jc w:val="right"/>
              <w:rPr>
                <w:noProof/>
                <w:sz w:val="20"/>
              </w:rPr>
            </w:pPr>
            <w:r>
              <w:rPr>
                <w:noProof/>
                <w:sz w:val="20"/>
              </w:rPr>
              <w:t>0,238</w:t>
            </w: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b/>
                <w:noProof/>
                <w:sz w:val="20"/>
              </w:rPr>
            </w:pPr>
          </w:p>
        </w:tc>
        <w:tc>
          <w:tcPr>
            <w:tcW w:w="1777" w:type="dxa"/>
            <w:vAlign w:val="center"/>
          </w:tcPr>
          <w:p w:rsidR="00B90EE1" w:rsidRDefault="003A231F">
            <w:pPr>
              <w:spacing w:before="20" w:after="20"/>
              <w:jc w:val="right"/>
              <w:rPr>
                <w:b/>
                <w:noProof/>
                <w:sz w:val="20"/>
              </w:rPr>
            </w:pPr>
            <w:r>
              <w:rPr>
                <w:b/>
                <w:noProof/>
                <w:sz w:val="20"/>
              </w:rPr>
              <w:t>0,238</w:t>
            </w:r>
          </w:p>
        </w:tc>
      </w:tr>
      <w:tr w:rsidR="00B90EE1">
        <w:trPr>
          <w:trHeight w:val="351"/>
        </w:trPr>
        <w:tc>
          <w:tcPr>
            <w:tcW w:w="6054" w:type="dxa"/>
            <w:gridSpan w:val="3"/>
            <w:vAlign w:val="center"/>
          </w:tcPr>
          <w:p w:rsidR="00B90EE1" w:rsidRDefault="003A231F">
            <w:pPr>
              <w:spacing w:before="20" w:after="20"/>
              <w:rPr>
                <w:noProof/>
              </w:rPr>
            </w:pPr>
            <w:r>
              <w:rPr>
                <w:noProof/>
                <w:sz w:val="22"/>
              </w:rPr>
              <w:sym w:font="Wingdings" w:char="F09F"/>
            </w:r>
            <w:r>
              <w:rPr>
                <w:noProof/>
                <w:sz w:val="22"/>
              </w:rPr>
              <w:t xml:space="preserve"> Ostatné administratívne výdavky </w:t>
            </w: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1777" w:type="dxa"/>
            <w:vAlign w:val="center"/>
          </w:tcPr>
          <w:p w:rsidR="00B90EE1" w:rsidRDefault="00B90EE1">
            <w:pPr>
              <w:spacing w:before="20" w:after="20"/>
              <w:jc w:val="right"/>
              <w:rPr>
                <w:b/>
                <w:noProof/>
                <w:sz w:val="20"/>
              </w:rPr>
            </w:pPr>
          </w:p>
        </w:tc>
      </w:tr>
      <w:tr w:rsidR="00B90EE1">
        <w:tc>
          <w:tcPr>
            <w:tcW w:w="3960" w:type="dxa"/>
            <w:vAlign w:val="center"/>
          </w:tcPr>
          <w:p w:rsidR="00B90EE1" w:rsidRDefault="003A231F">
            <w:pPr>
              <w:jc w:val="center"/>
              <w:rPr>
                <w:b/>
                <w:noProof/>
              </w:rPr>
            </w:pPr>
            <w:r>
              <w:rPr>
                <w:b/>
                <w:noProof/>
                <w:sz w:val="22"/>
              </w:rPr>
              <w:t>GR TRADE-DEL SPOLU</w:t>
            </w:r>
          </w:p>
        </w:tc>
        <w:tc>
          <w:tcPr>
            <w:tcW w:w="2094" w:type="dxa"/>
            <w:gridSpan w:val="2"/>
            <w:vAlign w:val="center"/>
          </w:tcPr>
          <w:p w:rsidR="00B90EE1" w:rsidRDefault="003A231F">
            <w:pPr>
              <w:rPr>
                <w:noProof/>
                <w:sz w:val="14"/>
              </w:rPr>
            </w:pPr>
            <w:r>
              <w:rPr>
                <w:noProof/>
                <w:sz w:val="18"/>
              </w:rPr>
              <w:t xml:space="preserve">Rozpočtové prostriedky </w:t>
            </w:r>
          </w:p>
        </w:tc>
        <w:tc>
          <w:tcPr>
            <w:tcW w:w="868" w:type="dxa"/>
            <w:vAlign w:val="center"/>
          </w:tcPr>
          <w:p w:rsidR="00B90EE1" w:rsidRDefault="003A231F">
            <w:pPr>
              <w:spacing w:before="60" w:after="60"/>
              <w:jc w:val="right"/>
              <w:rPr>
                <w:noProof/>
                <w:sz w:val="20"/>
              </w:rPr>
            </w:pPr>
            <w:r>
              <w:rPr>
                <w:noProof/>
                <w:sz w:val="20"/>
              </w:rPr>
              <w:t>0,238</w:t>
            </w:r>
          </w:p>
        </w:tc>
        <w:tc>
          <w:tcPr>
            <w:tcW w:w="868" w:type="dxa"/>
            <w:vAlign w:val="center"/>
          </w:tcPr>
          <w:p w:rsidR="00B90EE1" w:rsidRDefault="003A231F">
            <w:pPr>
              <w:spacing w:before="20" w:after="20"/>
              <w:jc w:val="right"/>
              <w:rPr>
                <w:noProof/>
                <w:sz w:val="20"/>
              </w:rPr>
            </w:pPr>
            <w:r>
              <w:rPr>
                <w:noProof/>
                <w:sz w:val="20"/>
              </w:rPr>
              <w:t>0,238</w:t>
            </w:r>
          </w:p>
        </w:tc>
        <w:tc>
          <w:tcPr>
            <w:tcW w:w="868" w:type="dxa"/>
            <w:vAlign w:val="center"/>
          </w:tcPr>
          <w:p w:rsidR="00B90EE1" w:rsidRDefault="003A231F">
            <w:pPr>
              <w:spacing w:before="20" w:after="20"/>
              <w:jc w:val="right"/>
              <w:rPr>
                <w:noProof/>
                <w:sz w:val="20"/>
              </w:rPr>
            </w:pPr>
            <w:r>
              <w:rPr>
                <w:noProof/>
                <w:sz w:val="20"/>
              </w:rPr>
              <w:t>0,238</w:t>
            </w:r>
          </w:p>
        </w:tc>
        <w:tc>
          <w:tcPr>
            <w:tcW w:w="868" w:type="dxa"/>
            <w:vAlign w:val="center"/>
          </w:tcPr>
          <w:p w:rsidR="00B90EE1" w:rsidRDefault="003A231F">
            <w:pPr>
              <w:spacing w:before="20" w:after="20"/>
              <w:jc w:val="right"/>
              <w:rPr>
                <w:noProof/>
                <w:sz w:val="20"/>
              </w:rPr>
            </w:pPr>
            <w:r>
              <w:rPr>
                <w:noProof/>
                <w:sz w:val="20"/>
              </w:rPr>
              <w:t>0,238</w:t>
            </w: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b/>
                <w:noProof/>
                <w:sz w:val="20"/>
              </w:rPr>
            </w:pPr>
          </w:p>
        </w:tc>
        <w:tc>
          <w:tcPr>
            <w:tcW w:w="1777" w:type="dxa"/>
            <w:vAlign w:val="center"/>
          </w:tcPr>
          <w:p w:rsidR="00B90EE1" w:rsidRDefault="003A231F">
            <w:pPr>
              <w:spacing w:before="20" w:after="20"/>
              <w:jc w:val="right"/>
              <w:rPr>
                <w:b/>
                <w:noProof/>
                <w:sz w:val="20"/>
              </w:rPr>
            </w:pPr>
            <w:r>
              <w:rPr>
                <w:b/>
                <w:noProof/>
                <w:sz w:val="20"/>
              </w:rPr>
              <w:t>0,238</w:t>
            </w:r>
          </w:p>
        </w:tc>
      </w:tr>
      <w:tr w:rsidR="00B90EE1">
        <w:tc>
          <w:tcPr>
            <w:tcW w:w="3960" w:type="dxa"/>
            <w:tcBorders>
              <w:top w:val="nil"/>
              <w:left w:val="nil"/>
              <w:right w:val="nil"/>
            </w:tcBorders>
            <w:vAlign w:val="center"/>
          </w:tcPr>
          <w:p w:rsidR="00B90EE1" w:rsidRDefault="00B90EE1">
            <w:pPr>
              <w:jc w:val="center"/>
              <w:rPr>
                <w:noProof/>
              </w:rPr>
            </w:pPr>
          </w:p>
        </w:tc>
        <w:tc>
          <w:tcPr>
            <w:tcW w:w="1560" w:type="dxa"/>
            <w:tcBorders>
              <w:top w:val="nil"/>
              <w:left w:val="nil"/>
              <w:right w:val="nil"/>
            </w:tcBorders>
          </w:tcPr>
          <w:p w:rsidR="00B90EE1" w:rsidRDefault="00B90EE1">
            <w:pPr>
              <w:rPr>
                <w:noProof/>
                <w:sz w:val="20"/>
              </w:rPr>
            </w:pPr>
          </w:p>
        </w:tc>
        <w:tc>
          <w:tcPr>
            <w:tcW w:w="534" w:type="dxa"/>
            <w:tcBorders>
              <w:top w:val="nil"/>
              <w:left w:val="nil"/>
            </w:tcBorders>
          </w:tcPr>
          <w:p w:rsidR="00B90EE1" w:rsidRDefault="00B90EE1">
            <w:pPr>
              <w:jc w:val="center"/>
              <w:rPr>
                <w:noProof/>
                <w:sz w:val="20"/>
              </w:rPr>
            </w:pP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w:t>
            </w: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 + 1</w:t>
            </w: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 + 2</w:t>
            </w: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 + 3</w:t>
            </w:r>
          </w:p>
        </w:tc>
        <w:tc>
          <w:tcPr>
            <w:tcW w:w="2604" w:type="dxa"/>
            <w:gridSpan w:val="3"/>
            <w:vAlign w:val="center"/>
          </w:tcPr>
          <w:p w:rsidR="00B90EE1" w:rsidRDefault="003A231F">
            <w:pPr>
              <w:jc w:val="center"/>
              <w:rPr>
                <w:b/>
                <w:noProof/>
                <w:sz w:val="18"/>
              </w:rPr>
            </w:pPr>
            <w:r>
              <w:rPr>
                <w:noProof/>
                <w:sz w:val="18"/>
              </w:rPr>
              <w:t xml:space="preserve">Uveďte všetky roky, počas ktorých vplyv trvá (pozri bod 1.6) </w:t>
            </w:r>
          </w:p>
        </w:tc>
        <w:tc>
          <w:tcPr>
            <w:tcW w:w="1777" w:type="dxa"/>
            <w:vAlign w:val="center"/>
          </w:tcPr>
          <w:p w:rsidR="00B90EE1" w:rsidRDefault="003A231F">
            <w:pPr>
              <w:jc w:val="center"/>
              <w:rPr>
                <w:b/>
                <w:noProof/>
                <w:sz w:val="20"/>
              </w:rPr>
            </w:pPr>
            <w:r>
              <w:rPr>
                <w:b/>
                <w:noProof/>
                <w:sz w:val="20"/>
              </w:rPr>
              <w:t>SPOLU</w:t>
            </w:r>
          </w:p>
        </w:tc>
      </w:tr>
      <w:tr w:rsidR="00B90EE1">
        <w:trPr>
          <w:gridAfter w:val="10"/>
          <w:wAfter w:w="9947" w:type="dxa"/>
        </w:trPr>
        <w:tc>
          <w:tcPr>
            <w:tcW w:w="3960" w:type="dxa"/>
            <w:vAlign w:val="center"/>
          </w:tcPr>
          <w:p w:rsidR="00B90EE1" w:rsidRDefault="003A231F">
            <w:pPr>
              <w:spacing w:before="60" w:after="60"/>
              <w:rPr>
                <w:noProof/>
              </w:rPr>
            </w:pPr>
            <w:r>
              <w:rPr>
                <w:noProof/>
                <w:sz w:val="22"/>
              </w:rPr>
              <w:t>Právny servis</w:t>
            </w:r>
          </w:p>
        </w:tc>
      </w:tr>
      <w:tr w:rsidR="00B90EE1">
        <w:trPr>
          <w:trHeight w:val="313"/>
        </w:trPr>
        <w:tc>
          <w:tcPr>
            <w:tcW w:w="6054" w:type="dxa"/>
            <w:gridSpan w:val="3"/>
            <w:vAlign w:val="center"/>
          </w:tcPr>
          <w:p w:rsidR="00B90EE1" w:rsidRDefault="003A231F">
            <w:pPr>
              <w:spacing w:before="20" w:after="20"/>
              <w:rPr>
                <w:noProof/>
              </w:rPr>
            </w:pPr>
            <w:r>
              <w:rPr>
                <w:noProof/>
                <w:sz w:val="22"/>
              </w:rPr>
              <w:sym w:font="Wingdings" w:char="F09F"/>
            </w:r>
            <w:r>
              <w:rPr>
                <w:noProof/>
                <w:sz w:val="22"/>
              </w:rPr>
              <w:t xml:space="preserve"> Ľudské zdroje </w:t>
            </w:r>
          </w:p>
        </w:tc>
        <w:tc>
          <w:tcPr>
            <w:tcW w:w="868" w:type="dxa"/>
            <w:vAlign w:val="center"/>
          </w:tcPr>
          <w:p w:rsidR="00B90EE1" w:rsidRDefault="003A231F">
            <w:pPr>
              <w:spacing w:before="20" w:after="20"/>
              <w:jc w:val="right"/>
              <w:rPr>
                <w:noProof/>
                <w:sz w:val="20"/>
              </w:rPr>
            </w:pPr>
            <w:r>
              <w:rPr>
                <w:noProof/>
                <w:sz w:val="20"/>
              </w:rPr>
              <w:t>0,138</w:t>
            </w:r>
          </w:p>
        </w:tc>
        <w:tc>
          <w:tcPr>
            <w:tcW w:w="868" w:type="dxa"/>
            <w:vAlign w:val="center"/>
          </w:tcPr>
          <w:p w:rsidR="00B90EE1" w:rsidRDefault="003A231F">
            <w:pPr>
              <w:spacing w:before="20" w:after="20"/>
              <w:jc w:val="right"/>
              <w:rPr>
                <w:noProof/>
                <w:sz w:val="20"/>
              </w:rPr>
            </w:pPr>
            <w:r>
              <w:rPr>
                <w:noProof/>
                <w:sz w:val="20"/>
              </w:rPr>
              <w:t>0138</w:t>
            </w:r>
          </w:p>
        </w:tc>
        <w:tc>
          <w:tcPr>
            <w:tcW w:w="868" w:type="dxa"/>
            <w:vAlign w:val="center"/>
          </w:tcPr>
          <w:p w:rsidR="00B90EE1" w:rsidRDefault="003A231F">
            <w:pPr>
              <w:spacing w:before="20" w:after="20"/>
              <w:jc w:val="right"/>
              <w:rPr>
                <w:noProof/>
                <w:sz w:val="20"/>
              </w:rPr>
            </w:pPr>
            <w:r>
              <w:rPr>
                <w:noProof/>
                <w:sz w:val="20"/>
              </w:rPr>
              <w:t>0,138</w:t>
            </w:r>
          </w:p>
        </w:tc>
        <w:tc>
          <w:tcPr>
            <w:tcW w:w="868" w:type="dxa"/>
            <w:vAlign w:val="center"/>
          </w:tcPr>
          <w:p w:rsidR="00B90EE1" w:rsidRDefault="003A231F">
            <w:pPr>
              <w:spacing w:before="20" w:after="20"/>
              <w:jc w:val="right"/>
              <w:rPr>
                <w:noProof/>
                <w:sz w:val="20"/>
              </w:rPr>
            </w:pPr>
            <w:r>
              <w:rPr>
                <w:noProof/>
                <w:sz w:val="20"/>
              </w:rPr>
              <w:t>0,138</w:t>
            </w: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b/>
                <w:noProof/>
                <w:sz w:val="20"/>
              </w:rPr>
            </w:pPr>
          </w:p>
        </w:tc>
        <w:tc>
          <w:tcPr>
            <w:tcW w:w="1777" w:type="dxa"/>
            <w:vAlign w:val="center"/>
          </w:tcPr>
          <w:p w:rsidR="00B90EE1" w:rsidRDefault="003A231F">
            <w:pPr>
              <w:spacing w:before="20" w:after="20"/>
              <w:jc w:val="right"/>
              <w:rPr>
                <w:b/>
                <w:noProof/>
                <w:sz w:val="20"/>
              </w:rPr>
            </w:pPr>
            <w:r>
              <w:rPr>
                <w:b/>
                <w:noProof/>
                <w:sz w:val="20"/>
              </w:rPr>
              <w:t>0,138</w:t>
            </w:r>
          </w:p>
        </w:tc>
      </w:tr>
      <w:tr w:rsidR="00B90EE1">
        <w:trPr>
          <w:trHeight w:val="351"/>
        </w:trPr>
        <w:tc>
          <w:tcPr>
            <w:tcW w:w="6054" w:type="dxa"/>
            <w:gridSpan w:val="3"/>
            <w:vAlign w:val="center"/>
          </w:tcPr>
          <w:p w:rsidR="00B90EE1" w:rsidRDefault="003A231F">
            <w:pPr>
              <w:spacing w:before="20" w:after="20"/>
              <w:rPr>
                <w:noProof/>
              </w:rPr>
            </w:pPr>
            <w:r>
              <w:rPr>
                <w:noProof/>
                <w:sz w:val="22"/>
              </w:rPr>
              <w:sym w:font="Wingdings" w:char="F09F"/>
            </w:r>
            <w:r>
              <w:rPr>
                <w:noProof/>
                <w:sz w:val="22"/>
              </w:rPr>
              <w:t xml:space="preserve"> Ostatné administratívne výdavky </w:t>
            </w: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868" w:type="dxa"/>
            <w:vAlign w:val="center"/>
          </w:tcPr>
          <w:p w:rsidR="00B90EE1" w:rsidRDefault="00B90EE1">
            <w:pPr>
              <w:spacing w:before="20" w:after="20"/>
              <w:jc w:val="right"/>
              <w:rPr>
                <w:b/>
                <w:noProof/>
                <w:sz w:val="20"/>
              </w:rPr>
            </w:pPr>
          </w:p>
        </w:tc>
        <w:tc>
          <w:tcPr>
            <w:tcW w:w="1777" w:type="dxa"/>
            <w:vAlign w:val="center"/>
          </w:tcPr>
          <w:p w:rsidR="00B90EE1" w:rsidRDefault="00B90EE1">
            <w:pPr>
              <w:spacing w:before="20" w:after="20"/>
              <w:jc w:val="right"/>
              <w:rPr>
                <w:b/>
                <w:noProof/>
                <w:sz w:val="20"/>
              </w:rPr>
            </w:pPr>
          </w:p>
        </w:tc>
      </w:tr>
      <w:tr w:rsidR="00B90EE1">
        <w:tc>
          <w:tcPr>
            <w:tcW w:w="3960" w:type="dxa"/>
            <w:vAlign w:val="center"/>
          </w:tcPr>
          <w:p w:rsidR="00B90EE1" w:rsidRDefault="003A231F">
            <w:pPr>
              <w:jc w:val="center"/>
              <w:rPr>
                <w:b/>
                <w:noProof/>
              </w:rPr>
            </w:pPr>
            <w:r>
              <w:rPr>
                <w:b/>
                <w:noProof/>
                <w:sz w:val="22"/>
              </w:rPr>
              <w:t>Právny servis SPOLU</w:t>
            </w:r>
          </w:p>
        </w:tc>
        <w:tc>
          <w:tcPr>
            <w:tcW w:w="2094" w:type="dxa"/>
            <w:gridSpan w:val="2"/>
            <w:vAlign w:val="center"/>
          </w:tcPr>
          <w:p w:rsidR="00B90EE1" w:rsidRDefault="003A231F">
            <w:pPr>
              <w:rPr>
                <w:noProof/>
                <w:sz w:val="14"/>
              </w:rPr>
            </w:pPr>
            <w:r>
              <w:rPr>
                <w:noProof/>
                <w:sz w:val="18"/>
              </w:rPr>
              <w:t xml:space="preserve">Rozpočtové prostriedky </w:t>
            </w:r>
          </w:p>
        </w:tc>
        <w:tc>
          <w:tcPr>
            <w:tcW w:w="868" w:type="dxa"/>
            <w:vAlign w:val="center"/>
          </w:tcPr>
          <w:p w:rsidR="00B90EE1" w:rsidRDefault="003A231F">
            <w:pPr>
              <w:spacing w:before="60" w:after="60"/>
              <w:jc w:val="right"/>
              <w:rPr>
                <w:noProof/>
                <w:sz w:val="20"/>
              </w:rPr>
            </w:pPr>
            <w:r>
              <w:rPr>
                <w:noProof/>
                <w:sz w:val="20"/>
              </w:rPr>
              <w:t>0,138</w:t>
            </w:r>
          </w:p>
        </w:tc>
        <w:tc>
          <w:tcPr>
            <w:tcW w:w="868" w:type="dxa"/>
            <w:vAlign w:val="center"/>
          </w:tcPr>
          <w:p w:rsidR="00B90EE1" w:rsidRDefault="003A231F">
            <w:pPr>
              <w:spacing w:before="20" w:after="20"/>
              <w:jc w:val="right"/>
              <w:rPr>
                <w:noProof/>
                <w:sz w:val="20"/>
              </w:rPr>
            </w:pPr>
            <w:r>
              <w:rPr>
                <w:noProof/>
                <w:sz w:val="20"/>
              </w:rPr>
              <w:t>0,138</w:t>
            </w:r>
          </w:p>
        </w:tc>
        <w:tc>
          <w:tcPr>
            <w:tcW w:w="868" w:type="dxa"/>
            <w:vAlign w:val="center"/>
          </w:tcPr>
          <w:p w:rsidR="00B90EE1" w:rsidRDefault="003A231F">
            <w:pPr>
              <w:spacing w:before="20" w:after="20"/>
              <w:jc w:val="right"/>
              <w:rPr>
                <w:noProof/>
                <w:sz w:val="20"/>
              </w:rPr>
            </w:pPr>
            <w:r>
              <w:rPr>
                <w:noProof/>
                <w:sz w:val="20"/>
              </w:rPr>
              <w:t>0,138</w:t>
            </w:r>
          </w:p>
        </w:tc>
        <w:tc>
          <w:tcPr>
            <w:tcW w:w="868" w:type="dxa"/>
            <w:vAlign w:val="center"/>
          </w:tcPr>
          <w:p w:rsidR="00B90EE1" w:rsidRDefault="003A231F">
            <w:pPr>
              <w:spacing w:before="20" w:after="20"/>
              <w:jc w:val="right"/>
              <w:rPr>
                <w:noProof/>
                <w:sz w:val="20"/>
              </w:rPr>
            </w:pPr>
            <w:r>
              <w:rPr>
                <w:noProof/>
                <w:sz w:val="20"/>
              </w:rPr>
              <w:t>0,138</w:t>
            </w: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b/>
                <w:noProof/>
                <w:sz w:val="20"/>
              </w:rPr>
            </w:pPr>
          </w:p>
        </w:tc>
        <w:tc>
          <w:tcPr>
            <w:tcW w:w="1777" w:type="dxa"/>
            <w:vAlign w:val="center"/>
          </w:tcPr>
          <w:p w:rsidR="00B90EE1" w:rsidRDefault="003A231F">
            <w:pPr>
              <w:spacing w:before="20" w:after="20"/>
              <w:jc w:val="right"/>
              <w:rPr>
                <w:b/>
                <w:noProof/>
                <w:sz w:val="20"/>
              </w:rPr>
            </w:pPr>
            <w:r>
              <w:rPr>
                <w:b/>
                <w:noProof/>
                <w:sz w:val="20"/>
              </w:rPr>
              <w:t>0,138</w:t>
            </w:r>
          </w:p>
        </w:tc>
      </w:tr>
    </w:tbl>
    <w:p w:rsidR="00B90EE1" w:rsidRDefault="00B90EE1">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rsidR="00B90EE1">
        <w:tc>
          <w:tcPr>
            <w:tcW w:w="3960" w:type="dxa"/>
            <w:shd w:val="thinDiagStripe" w:color="C0C0C0" w:fill="auto"/>
            <w:vAlign w:val="center"/>
          </w:tcPr>
          <w:p w:rsidR="00B90EE1" w:rsidRDefault="003A231F">
            <w:pPr>
              <w:jc w:val="center"/>
              <w:rPr>
                <w:b/>
                <w:noProof/>
              </w:rPr>
            </w:pPr>
            <w:r>
              <w:rPr>
                <w:b/>
                <w:noProof/>
                <w:sz w:val="22"/>
              </w:rPr>
              <w:lastRenderedPageBreak/>
              <w:t>Rozpočtové prostriedky</w:t>
            </w:r>
            <w:r>
              <w:rPr>
                <w:noProof/>
                <w:sz w:val="22"/>
              </w:rPr>
              <w:br/>
            </w:r>
            <w:r>
              <w:rPr>
                <w:b/>
                <w:noProof/>
                <w:sz w:val="22"/>
              </w:rPr>
              <w:t>OKRUHU 5</w:t>
            </w:r>
            <w:r>
              <w:rPr>
                <w:noProof/>
                <w:sz w:val="22"/>
              </w:rPr>
              <w:br/>
              <w:t>viacročného finančného rámca</w:t>
            </w:r>
            <w:r>
              <w:rPr>
                <w:b/>
                <w:noProof/>
                <w:sz w:val="22"/>
              </w:rPr>
              <w:t xml:space="preserve"> SPOLU </w:t>
            </w:r>
          </w:p>
        </w:tc>
        <w:tc>
          <w:tcPr>
            <w:tcW w:w="2094" w:type="dxa"/>
            <w:vAlign w:val="center"/>
          </w:tcPr>
          <w:p w:rsidR="00B90EE1" w:rsidRDefault="003A231F">
            <w:pPr>
              <w:spacing w:before="40" w:after="40"/>
              <w:rPr>
                <w:noProof/>
              </w:rPr>
            </w:pPr>
            <w:r>
              <w:rPr>
                <w:noProof/>
                <w:sz w:val="18"/>
              </w:rPr>
              <w:t>(Záväzky spolu = Platby spolu)</w:t>
            </w:r>
          </w:p>
        </w:tc>
        <w:tc>
          <w:tcPr>
            <w:tcW w:w="868" w:type="dxa"/>
            <w:vAlign w:val="center"/>
          </w:tcPr>
          <w:p w:rsidR="00B90EE1" w:rsidRDefault="003A231F">
            <w:pPr>
              <w:spacing w:before="20" w:after="20"/>
              <w:jc w:val="right"/>
              <w:rPr>
                <w:noProof/>
                <w:sz w:val="20"/>
              </w:rPr>
            </w:pPr>
            <w:r>
              <w:rPr>
                <w:noProof/>
                <w:sz w:val="20"/>
              </w:rPr>
              <w:t>3,224</w:t>
            </w:r>
          </w:p>
        </w:tc>
        <w:tc>
          <w:tcPr>
            <w:tcW w:w="868" w:type="dxa"/>
            <w:vAlign w:val="center"/>
          </w:tcPr>
          <w:p w:rsidR="00B90EE1" w:rsidRDefault="003A231F">
            <w:pPr>
              <w:spacing w:before="20" w:after="20"/>
              <w:jc w:val="right"/>
              <w:rPr>
                <w:noProof/>
                <w:sz w:val="20"/>
              </w:rPr>
            </w:pPr>
            <w:r>
              <w:rPr>
                <w:noProof/>
                <w:sz w:val="20"/>
              </w:rPr>
              <w:t>3,224</w:t>
            </w:r>
          </w:p>
        </w:tc>
        <w:tc>
          <w:tcPr>
            <w:tcW w:w="868" w:type="dxa"/>
            <w:vAlign w:val="center"/>
          </w:tcPr>
          <w:p w:rsidR="00B90EE1" w:rsidRDefault="003A231F">
            <w:pPr>
              <w:spacing w:before="20" w:after="20"/>
              <w:jc w:val="right"/>
              <w:rPr>
                <w:noProof/>
                <w:sz w:val="20"/>
              </w:rPr>
            </w:pPr>
            <w:r>
              <w:rPr>
                <w:noProof/>
                <w:sz w:val="20"/>
              </w:rPr>
              <w:t>3,224</w:t>
            </w:r>
          </w:p>
        </w:tc>
        <w:tc>
          <w:tcPr>
            <w:tcW w:w="868" w:type="dxa"/>
            <w:vAlign w:val="center"/>
          </w:tcPr>
          <w:p w:rsidR="00B90EE1" w:rsidRDefault="003A231F">
            <w:pPr>
              <w:spacing w:before="20" w:after="20"/>
              <w:jc w:val="right"/>
              <w:rPr>
                <w:noProof/>
                <w:sz w:val="20"/>
              </w:rPr>
            </w:pPr>
            <w:r>
              <w:rPr>
                <w:noProof/>
                <w:sz w:val="20"/>
              </w:rPr>
              <w:t>3,224</w:t>
            </w: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noProof/>
                <w:sz w:val="20"/>
              </w:rPr>
            </w:pPr>
          </w:p>
        </w:tc>
        <w:tc>
          <w:tcPr>
            <w:tcW w:w="868" w:type="dxa"/>
            <w:vAlign w:val="center"/>
          </w:tcPr>
          <w:p w:rsidR="00B90EE1" w:rsidRDefault="00B90EE1">
            <w:pPr>
              <w:spacing w:before="20" w:after="20"/>
              <w:jc w:val="right"/>
              <w:rPr>
                <w:b/>
                <w:noProof/>
                <w:sz w:val="20"/>
              </w:rPr>
            </w:pPr>
          </w:p>
        </w:tc>
        <w:tc>
          <w:tcPr>
            <w:tcW w:w="1777" w:type="dxa"/>
            <w:vAlign w:val="center"/>
          </w:tcPr>
          <w:p w:rsidR="00B90EE1" w:rsidRDefault="003A231F">
            <w:pPr>
              <w:spacing w:before="20" w:after="20"/>
              <w:jc w:val="right"/>
              <w:rPr>
                <w:b/>
                <w:noProof/>
                <w:sz w:val="20"/>
              </w:rPr>
            </w:pPr>
            <w:r>
              <w:rPr>
                <w:b/>
                <w:noProof/>
                <w:sz w:val="20"/>
              </w:rPr>
              <w:t>3,224</w:t>
            </w:r>
          </w:p>
        </w:tc>
      </w:tr>
    </w:tbl>
    <w:p w:rsidR="00B90EE1" w:rsidRDefault="003A231F">
      <w:pPr>
        <w:jc w:val="right"/>
        <w:rPr>
          <w:noProof/>
          <w:sz w:val="20"/>
        </w:rPr>
      </w:pPr>
      <w:r>
        <w:rPr>
          <w:noProof/>
          <w:sz w:val="20"/>
        </w:rPr>
        <w:t>v mil. EUR (zaokrúhlené na 3 desatinné miesta)</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rsidR="00B90EE1">
        <w:tc>
          <w:tcPr>
            <w:tcW w:w="3960" w:type="dxa"/>
            <w:tcBorders>
              <w:top w:val="nil"/>
              <w:left w:val="nil"/>
              <w:right w:val="nil"/>
            </w:tcBorders>
            <w:vAlign w:val="center"/>
          </w:tcPr>
          <w:p w:rsidR="00B90EE1" w:rsidRDefault="00B90EE1">
            <w:pPr>
              <w:jc w:val="center"/>
              <w:rPr>
                <w:noProof/>
              </w:rPr>
            </w:pPr>
          </w:p>
        </w:tc>
        <w:tc>
          <w:tcPr>
            <w:tcW w:w="1560" w:type="dxa"/>
            <w:tcBorders>
              <w:top w:val="nil"/>
              <w:left w:val="nil"/>
              <w:right w:val="nil"/>
            </w:tcBorders>
          </w:tcPr>
          <w:p w:rsidR="00B90EE1" w:rsidRDefault="00B90EE1">
            <w:pPr>
              <w:rPr>
                <w:noProof/>
                <w:sz w:val="20"/>
              </w:rPr>
            </w:pPr>
          </w:p>
        </w:tc>
        <w:tc>
          <w:tcPr>
            <w:tcW w:w="534" w:type="dxa"/>
            <w:tcBorders>
              <w:top w:val="nil"/>
              <w:left w:val="nil"/>
            </w:tcBorders>
          </w:tcPr>
          <w:p w:rsidR="00B90EE1" w:rsidRDefault="00B90EE1">
            <w:pPr>
              <w:jc w:val="center"/>
              <w:rPr>
                <w:noProof/>
                <w:sz w:val="20"/>
              </w:rPr>
            </w:pP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w:t>
            </w:r>
            <w:r>
              <w:rPr>
                <w:rStyle w:val="Odkaznapoznmkupodiarou"/>
                <w:b/>
                <w:noProof/>
                <w:sz w:val="20"/>
              </w:rPr>
              <w:footnoteReference w:id="33"/>
            </w: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 + 1</w:t>
            </w: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 + 2</w:t>
            </w:r>
          </w:p>
        </w:tc>
        <w:tc>
          <w:tcPr>
            <w:tcW w:w="868" w:type="dxa"/>
            <w:vAlign w:val="center"/>
          </w:tcPr>
          <w:p w:rsidR="00B90EE1" w:rsidRDefault="003A231F">
            <w:pPr>
              <w:jc w:val="center"/>
              <w:rPr>
                <w:noProof/>
                <w:sz w:val="20"/>
              </w:rPr>
            </w:pPr>
            <w:r>
              <w:rPr>
                <w:noProof/>
                <w:sz w:val="20"/>
              </w:rPr>
              <w:t>Rok</w:t>
            </w:r>
            <w:r>
              <w:rPr>
                <w:noProof/>
                <w:sz w:val="22"/>
              </w:rPr>
              <w:br/>
            </w:r>
            <w:r>
              <w:rPr>
                <w:b/>
                <w:noProof/>
                <w:sz w:val="20"/>
              </w:rPr>
              <w:t>N + 3</w:t>
            </w:r>
          </w:p>
        </w:tc>
        <w:tc>
          <w:tcPr>
            <w:tcW w:w="2604" w:type="dxa"/>
            <w:gridSpan w:val="3"/>
            <w:vAlign w:val="center"/>
          </w:tcPr>
          <w:p w:rsidR="00B90EE1" w:rsidRDefault="003A231F">
            <w:pPr>
              <w:jc w:val="center"/>
              <w:rPr>
                <w:b/>
                <w:noProof/>
                <w:sz w:val="18"/>
              </w:rPr>
            </w:pPr>
            <w:r>
              <w:rPr>
                <w:noProof/>
                <w:sz w:val="18"/>
              </w:rPr>
              <w:t>Uveďte všetky roky, počas ktorých vplyv trvá (pozri bod 1.6)</w:t>
            </w:r>
          </w:p>
        </w:tc>
        <w:tc>
          <w:tcPr>
            <w:tcW w:w="1777" w:type="dxa"/>
            <w:vAlign w:val="center"/>
          </w:tcPr>
          <w:p w:rsidR="00B90EE1" w:rsidRDefault="003A231F">
            <w:pPr>
              <w:jc w:val="center"/>
              <w:rPr>
                <w:b/>
                <w:noProof/>
                <w:sz w:val="20"/>
              </w:rPr>
            </w:pPr>
            <w:r>
              <w:rPr>
                <w:b/>
                <w:noProof/>
                <w:sz w:val="20"/>
              </w:rPr>
              <w:t>SPOLU</w:t>
            </w:r>
          </w:p>
        </w:tc>
      </w:tr>
      <w:tr w:rsidR="00B90EE1">
        <w:tc>
          <w:tcPr>
            <w:tcW w:w="3960" w:type="dxa"/>
            <w:vMerge w:val="restart"/>
            <w:shd w:val="clear" w:color="auto" w:fill="C0C0C0"/>
            <w:vAlign w:val="center"/>
          </w:tcPr>
          <w:p w:rsidR="00B90EE1" w:rsidRDefault="003A231F">
            <w:pPr>
              <w:jc w:val="center"/>
              <w:rPr>
                <w:b/>
                <w:noProof/>
              </w:rPr>
            </w:pPr>
            <w:r>
              <w:rPr>
                <w:b/>
                <w:noProof/>
                <w:sz w:val="22"/>
              </w:rPr>
              <w:t>Rozpočtové prostriedky</w:t>
            </w:r>
            <w:r>
              <w:rPr>
                <w:noProof/>
                <w:sz w:val="22"/>
              </w:rPr>
              <w:br/>
            </w:r>
            <w:r>
              <w:rPr>
                <w:b/>
                <w:noProof/>
                <w:sz w:val="22"/>
              </w:rPr>
              <w:t>OKRUHOV 1 až 5</w:t>
            </w:r>
            <w:r>
              <w:rPr>
                <w:noProof/>
                <w:sz w:val="22"/>
              </w:rPr>
              <w:br/>
              <w:t>viacročného finančného rámca</w:t>
            </w:r>
            <w:r>
              <w:rPr>
                <w:b/>
                <w:noProof/>
                <w:sz w:val="22"/>
              </w:rPr>
              <w:t xml:space="preserve"> SPOLU </w:t>
            </w:r>
          </w:p>
        </w:tc>
        <w:tc>
          <w:tcPr>
            <w:tcW w:w="2094" w:type="dxa"/>
            <w:gridSpan w:val="2"/>
            <w:vAlign w:val="center"/>
          </w:tcPr>
          <w:p w:rsidR="00B90EE1" w:rsidRDefault="003A231F">
            <w:pPr>
              <w:rPr>
                <w:noProof/>
                <w:sz w:val="14"/>
              </w:rPr>
            </w:pPr>
            <w:r>
              <w:rPr>
                <w:noProof/>
                <w:sz w:val="18"/>
              </w:rPr>
              <w:t>Záväzky</w:t>
            </w:r>
          </w:p>
        </w:tc>
        <w:tc>
          <w:tcPr>
            <w:tcW w:w="868" w:type="dxa"/>
            <w:vAlign w:val="center"/>
          </w:tcPr>
          <w:p w:rsidR="00B90EE1" w:rsidRDefault="003A231F">
            <w:pPr>
              <w:spacing w:before="60" w:after="60"/>
              <w:jc w:val="right"/>
              <w:rPr>
                <w:noProof/>
                <w:sz w:val="20"/>
              </w:rPr>
            </w:pPr>
            <w:r>
              <w:rPr>
                <w:noProof/>
                <w:sz w:val="20"/>
              </w:rPr>
              <w:t>3,224</w:t>
            </w:r>
          </w:p>
        </w:tc>
        <w:tc>
          <w:tcPr>
            <w:tcW w:w="868" w:type="dxa"/>
            <w:vAlign w:val="center"/>
          </w:tcPr>
          <w:p w:rsidR="00B90EE1" w:rsidRDefault="003A231F">
            <w:pPr>
              <w:spacing w:before="60" w:after="60"/>
              <w:jc w:val="right"/>
              <w:rPr>
                <w:noProof/>
                <w:sz w:val="20"/>
              </w:rPr>
            </w:pPr>
            <w:r>
              <w:rPr>
                <w:noProof/>
                <w:sz w:val="20"/>
              </w:rPr>
              <w:t>3,224</w:t>
            </w:r>
          </w:p>
        </w:tc>
        <w:tc>
          <w:tcPr>
            <w:tcW w:w="868" w:type="dxa"/>
            <w:vAlign w:val="center"/>
          </w:tcPr>
          <w:p w:rsidR="00B90EE1" w:rsidRDefault="003A231F">
            <w:pPr>
              <w:spacing w:before="60" w:after="60"/>
              <w:jc w:val="right"/>
              <w:rPr>
                <w:noProof/>
                <w:sz w:val="20"/>
              </w:rPr>
            </w:pPr>
            <w:r>
              <w:rPr>
                <w:noProof/>
                <w:sz w:val="20"/>
              </w:rPr>
              <w:t>3,224</w:t>
            </w:r>
          </w:p>
        </w:tc>
        <w:tc>
          <w:tcPr>
            <w:tcW w:w="868" w:type="dxa"/>
            <w:vAlign w:val="center"/>
          </w:tcPr>
          <w:p w:rsidR="00B90EE1" w:rsidRDefault="003A231F">
            <w:pPr>
              <w:spacing w:before="60" w:after="60"/>
              <w:jc w:val="right"/>
              <w:rPr>
                <w:noProof/>
                <w:sz w:val="20"/>
              </w:rPr>
            </w:pPr>
            <w:r>
              <w:rPr>
                <w:noProof/>
                <w:sz w:val="20"/>
              </w:rPr>
              <w:t>3,224</w:t>
            </w:r>
          </w:p>
        </w:tc>
        <w:tc>
          <w:tcPr>
            <w:tcW w:w="868" w:type="dxa"/>
            <w:vAlign w:val="center"/>
          </w:tcPr>
          <w:p w:rsidR="00B90EE1" w:rsidRDefault="00B90EE1">
            <w:pPr>
              <w:spacing w:before="60" w:after="60"/>
              <w:jc w:val="right"/>
              <w:rPr>
                <w:noProof/>
                <w:sz w:val="20"/>
              </w:rPr>
            </w:pPr>
          </w:p>
        </w:tc>
        <w:tc>
          <w:tcPr>
            <w:tcW w:w="868" w:type="dxa"/>
            <w:vAlign w:val="center"/>
          </w:tcPr>
          <w:p w:rsidR="00B90EE1" w:rsidRDefault="00B90EE1">
            <w:pPr>
              <w:spacing w:before="60" w:after="60"/>
              <w:jc w:val="right"/>
              <w:rPr>
                <w:noProof/>
                <w:sz w:val="20"/>
              </w:rPr>
            </w:pPr>
          </w:p>
        </w:tc>
        <w:tc>
          <w:tcPr>
            <w:tcW w:w="868" w:type="dxa"/>
            <w:vAlign w:val="center"/>
          </w:tcPr>
          <w:p w:rsidR="00B90EE1" w:rsidRDefault="00B90EE1">
            <w:pPr>
              <w:spacing w:before="60" w:after="60"/>
              <w:jc w:val="right"/>
              <w:rPr>
                <w:b/>
                <w:noProof/>
                <w:sz w:val="20"/>
              </w:rPr>
            </w:pPr>
          </w:p>
        </w:tc>
        <w:tc>
          <w:tcPr>
            <w:tcW w:w="1777" w:type="dxa"/>
            <w:vAlign w:val="center"/>
          </w:tcPr>
          <w:p w:rsidR="00B90EE1" w:rsidRDefault="003A231F">
            <w:pPr>
              <w:spacing w:before="60" w:after="60"/>
              <w:jc w:val="right"/>
              <w:rPr>
                <w:b/>
                <w:noProof/>
                <w:sz w:val="20"/>
              </w:rPr>
            </w:pPr>
            <w:r>
              <w:rPr>
                <w:b/>
                <w:noProof/>
                <w:sz w:val="20"/>
              </w:rPr>
              <w:t>3,224</w:t>
            </w:r>
          </w:p>
        </w:tc>
      </w:tr>
      <w:tr w:rsidR="00B90EE1">
        <w:tc>
          <w:tcPr>
            <w:tcW w:w="3960" w:type="dxa"/>
            <w:vMerge/>
            <w:shd w:val="clear" w:color="auto" w:fill="C0C0C0"/>
          </w:tcPr>
          <w:p w:rsidR="00B90EE1" w:rsidRDefault="00B90EE1">
            <w:pPr>
              <w:rPr>
                <w:noProof/>
                <w:sz w:val="20"/>
              </w:rPr>
            </w:pPr>
          </w:p>
        </w:tc>
        <w:tc>
          <w:tcPr>
            <w:tcW w:w="2094" w:type="dxa"/>
            <w:gridSpan w:val="2"/>
            <w:vAlign w:val="center"/>
          </w:tcPr>
          <w:p w:rsidR="00B90EE1" w:rsidRDefault="003A231F">
            <w:pPr>
              <w:rPr>
                <w:noProof/>
                <w:sz w:val="14"/>
              </w:rPr>
            </w:pPr>
            <w:r>
              <w:rPr>
                <w:noProof/>
                <w:sz w:val="18"/>
              </w:rPr>
              <w:t>Platby</w:t>
            </w:r>
          </w:p>
        </w:tc>
        <w:tc>
          <w:tcPr>
            <w:tcW w:w="868" w:type="dxa"/>
            <w:vAlign w:val="center"/>
          </w:tcPr>
          <w:p w:rsidR="00B90EE1" w:rsidRDefault="003A231F">
            <w:pPr>
              <w:spacing w:before="60" w:after="60"/>
              <w:jc w:val="right"/>
              <w:rPr>
                <w:noProof/>
                <w:sz w:val="20"/>
              </w:rPr>
            </w:pPr>
            <w:r>
              <w:rPr>
                <w:noProof/>
                <w:sz w:val="20"/>
              </w:rPr>
              <w:t>3,224</w:t>
            </w:r>
          </w:p>
        </w:tc>
        <w:tc>
          <w:tcPr>
            <w:tcW w:w="868" w:type="dxa"/>
            <w:vAlign w:val="center"/>
          </w:tcPr>
          <w:p w:rsidR="00B90EE1" w:rsidRDefault="003A231F">
            <w:pPr>
              <w:spacing w:before="60" w:after="60"/>
              <w:jc w:val="right"/>
              <w:rPr>
                <w:noProof/>
                <w:sz w:val="20"/>
              </w:rPr>
            </w:pPr>
            <w:r>
              <w:rPr>
                <w:noProof/>
                <w:sz w:val="20"/>
              </w:rPr>
              <w:t>3,224</w:t>
            </w:r>
          </w:p>
        </w:tc>
        <w:tc>
          <w:tcPr>
            <w:tcW w:w="868" w:type="dxa"/>
            <w:vAlign w:val="center"/>
          </w:tcPr>
          <w:p w:rsidR="00B90EE1" w:rsidRDefault="003A231F">
            <w:pPr>
              <w:spacing w:before="60" w:after="60"/>
              <w:jc w:val="right"/>
              <w:rPr>
                <w:noProof/>
                <w:sz w:val="20"/>
              </w:rPr>
            </w:pPr>
            <w:r>
              <w:rPr>
                <w:noProof/>
                <w:sz w:val="20"/>
              </w:rPr>
              <w:t>3,224</w:t>
            </w:r>
          </w:p>
        </w:tc>
        <w:tc>
          <w:tcPr>
            <w:tcW w:w="868" w:type="dxa"/>
            <w:vAlign w:val="center"/>
          </w:tcPr>
          <w:p w:rsidR="00B90EE1" w:rsidRDefault="003A231F">
            <w:pPr>
              <w:spacing w:before="60" w:after="60"/>
              <w:jc w:val="right"/>
              <w:rPr>
                <w:noProof/>
                <w:sz w:val="20"/>
              </w:rPr>
            </w:pPr>
            <w:r>
              <w:rPr>
                <w:noProof/>
                <w:sz w:val="20"/>
              </w:rPr>
              <w:t>3,224</w:t>
            </w:r>
          </w:p>
        </w:tc>
        <w:tc>
          <w:tcPr>
            <w:tcW w:w="868" w:type="dxa"/>
            <w:vAlign w:val="center"/>
          </w:tcPr>
          <w:p w:rsidR="00B90EE1" w:rsidRDefault="00B90EE1">
            <w:pPr>
              <w:spacing w:before="60" w:after="60"/>
              <w:jc w:val="right"/>
              <w:rPr>
                <w:noProof/>
                <w:sz w:val="20"/>
              </w:rPr>
            </w:pPr>
          </w:p>
        </w:tc>
        <w:tc>
          <w:tcPr>
            <w:tcW w:w="868" w:type="dxa"/>
            <w:vAlign w:val="center"/>
          </w:tcPr>
          <w:p w:rsidR="00B90EE1" w:rsidRDefault="00B90EE1">
            <w:pPr>
              <w:spacing w:before="60" w:after="60"/>
              <w:jc w:val="right"/>
              <w:rPr>
                <w:noProof/>
                <w:sz w:val="20"/>
              </w:rPr>
            </w:pPr>
          </w:p>
        </w:tc>
        <w:tc>
          <w:tcPr>
            <w:tcW w:w="868" w:type="dxa"/>
            <w:vAlign w:val="center"/>
          </w:tcPr>
          <w:p w:rsidR="00B90EE1" w:rsidRDefault="00B90EE1">
            <w:pPr>
              <w:spacing w:before="60" w:after="60"/>
              <w:jc w:val="right"/>
              <w:rPr>
                <w:b/>
                <w:noProof/>
                <w:sz w:val="20"/>
              </w:rPr>
            </w:pPr>
          </w:p>
        </w:tc>
        <w:tc>
          <w:tcPr>
            <w:tcW w:w="1777" w:type="dxa"/>
            <w:vAlign w:val="center"/>
          </w:tcPr>
          <w:p w:rsidR="00B90EE1" w:rsidRDefault="003A231F">
            <w:pPr>
              <w:spacing w:before="60" w:after="60"/>
              <w:jc w:val="right"/>
              <w:rPr>
                <w:b/>
                <w:noProof/>
                <w:sz w:val="20"/>
              </w:rPr>
            </w:pPr>
            <w:r>
              <w:rPr>
                <w:b/>
                <w:noProof/>
                <w:sz w:val="20"/>
              </w:rPr>
              <w:t>3,224</w:t>
            </w:r>
          </w:p>
        </w:tc>
      </w:tr>
    </w:tbl>
    <w:p w:rsidR="00B90EE1" w:rsidRDefault="00B90EE1">
      <w:pPr>
        <w:rPr>
          <w:noProof/>
        </w:rPr>
        <w:sectPr w:rsidR="00B90EE1">
          <w:headerReference w:type="default" r:id="rId17"/>
          <w:footerReference w:type="default" r:id="rId18"/>
          <w:headerReference w:type="first" r:id="rId19"/>
          <w:footerReference w:type="first" r:id="rId20"/>
          <w:pgSz w:w="16840" w:h="11907" w:orient="landscape" w:code="9"/>
          <w:pgMar w:top="1134" w:right="1418" w:bottom="1134" w:left="1418" w:header="709" w:footer="709" w:gutter="0"/>
          <w:cols w:space="708"/>
          <w:docGrid w:linePitch="360"/>
        </w:sectPr>
      </w:pPr>
    </w:p>
    <w:p w:rsidR="00B90EE1" w:rsidRDefault="003A231F">
      <w:pPr>
        <w:pStyle w:val="ManualHeading3"/>
        <w:rPr>
          <w:noProof/>
        </w:rPr>
      </w:pPr>
      <w:r>
        <w:rPr>
          <w:noProof/>
        </w:rPr>
        <w:lastRenderedPageBreak/>
        <w:t>3.2.2.</w:t>
      </w:r>
      <w:r>
        <w:rPr>
          <w:noProof/>
        </w:rPr>
        <w:tab/>
      </w:r>
      <w:r>
        <w:rPr>
          <w:noProof/>
        </w:rPr>
        <w:t>Odhadovaný vplyv na operačné rozpočtové prostriedky</w:t>
      </w:r>
    </w:p>
    <w:p w:rsidR="00B90EE1" w:rsidRDefault="003A231F">
      <w:pPr>
        <w:pStyle w:val="ListDash1"/>
        <w:rPr>
          <w:noProof/>
        </w:rPr>
      </w:pPr>
      <w:r>
        <w:rPr>
          <w:noProof/>
        </w:rPr>
        <w:t>x</w:t>
      </w:r>
      <w:r>
        <w:rPr>
          <w:noProof/>
        </w:rPr>
        <w:tab/>
        <w:t>Návrh/iniciatíva si nevyžaduje použitie operačných rozpočtových prostriedkov.</w:t>
      </w:r>
    </w:p>
    <w:p w:rsidR="00B90EE1" w:rsidRDefault="003A231F">
      <w:pPr>
        <w:pStyle w:val="ListDash1"/>
        <w:rPr>
          <w:noProof/>
        </w:rPr>
      </w:pPr>
      <w:r>
        <w:rPr>
          <w:noProof/>
        </w:rPr>
        <w:sym w:font="Wingdings" w:char="F0A8"/>
      </w:r>
      <w:r>
        <w:rPr>
          <w:noProof/>
        </w:rPr>
        <w:tab/>
        <w:t>Návrh/iniciatíva si vyžaduje použitie operačných rozpočtových prostriedkov, ako je uvedené v nasledujúcej tabuľke:</w:t>
      </w:r>
    </w:p>
    <w:p w:rsidR="00B90EE1" w:rsidRDefault="003A231F">
      <w:pPr>
        <w:jc w:val="right"/>
        <w:rPr>
          <w:noProof/>
          <w:sz w:val="20"/>
        </w:rPr>
      </w:pPr>
      <w:r>
        <w:rPr>
          <w:noProof/>
          <w:sz w:val="20"/>
        </w:rPr>
        <w:t>viazané</w:t>
      </w:r>
      <w:r>
        <w:rPr>
          <w:noProof/>
          <w:sz w:val="20"/>
        </w:rPr>
        <w:t xml:space="preserve"> rozpočtové prostriedky v mil. EUR (zaokrúhlené na 3 desatinné miesta)</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B90EE1">
        <w:trPr>
          <w:jc w:val="center"/>
        </w:trPr>
        <w:tc>
          <w:tcPr>
            <w:tcW w:w="1423" w:type="dxa"/>
            <w:vMerge w:val="restart"/>
            <w:vAlign w:val="center"/>
          </w:tcPr>
          <w:p w:rsidR="00B90EE1" w:rsidRDefault="003A231F">
            <w:pPr>
              <w:ind w:right="-29"/>
              <w:jc w:val="center"/>
              <w:rPr>
                <w:b/>
                <w:noProof/>
                <w:sz w:val="18"/>
              </w:rPr>
            </w:pPr>
            <w:r>
              <w:rPr>
                <w:b/>
                <w:noProof/>
                <w:sz w:val="18"/>
              </w:rPr>
              <w:t>Uveďte ciele a výstupy</w:t>
            </w:r>
          </w:p>
          <w:p w:rsidR="00B90EE1" w:rsidRDefault="00B90EE1">
            <w:pPr>
              <w:ind w:right="-29"/>
              <w:jc w:val="center"/>
              <w:rPr>
                <w:b/>
                <w:noProof/>
                <w:sz w:val="18"/>
                <w:szCs w:val="18"/>
              </w:rPr>
            </w:pPr>
          </w:p>
          <w:p w:rsidR="00B90EE1" w:rsidRDefault="003A231F">
            <w:pPr>
              <w:ind w:right="-29"/>
              <w:jc w:val="center"/>
              <w:rPr>
                <w:noProof/>
                <w:sz w:val="18"/>
                <w:szCs w:val="18"/>
              </w:rPr>
            </w:pPr>
            <w:r>
              <w:rPr>
                <w:noProof/>
                <w:sz w:val="18"/>
              </w:rPr>
              <w:sym w:font="Wingdings" w:char="F0F2"/>
            </w:r>
          </w:p>
        </w:tc>
        <w:tc>
          <w:tcPr>
            <w:tcW w:w="720" w:type="dxa"/>
            <w:vAlign w:val="center"/>
          </w:tcPr>
          <w:p w:rsidR="00B90EE1" w:rsidRDefault="00B90EE1">
            <w:pPr>
              <w:ind w:right="-29"/>
              <w:jc w:val="center"/>
              <w:rPr>
                <w:noProof/>
                <w:sz w:val="18"/>
                <w:szCs w:val="18"/>
              </w:rPr>
            </w:pPr>
          </w:p>
        </w:tc>
        <w:tc>
          <w:tcPr>
            <w:tcW w:w="701" w:type="dxa"/>
            <w:vAlign w:val="center"/>
          </w:tcPr>
          <w:p w:rsidR="00B90EE1" w:rsidRDefault="00B90EE1">
            <w:pPr>
              <w:ind w:right="-29"/>
              <w:jc w:val="center"/>
              <w:rPr>
                <w:noProof/>
                <w:sz w:val="18"/>
                <w:szCs w:val="18"/>
              </w:rPr>
            </w:pPr>
          </w:p>
        </w:tc>
        <w:tc>
          <w:tcPr>
            <w:tcW w:w="1224" w:type="dxa"/>
            <w:gridSpan w:val="2"/>
            <w:tcBorders>
              <w:left w:val="nil"/>
            </w:tcBorders>
            <w:vAlign w:val="center"/>
          </w:tcPr>
          <w:p w:rsidR="00B90EE1" w:rsidRDefault="003A231F">
            <w:pPr>
              <w:ind w:right="-29"/>
              <w:jc w:val="center"/>
              <w:rPr>
                <w:noProof/>
                <w:sz w:val="18"/>
                <w:szCs w:val="18"/>
              </w:rPr>
            </w:pPr>
            <w:r>
              <w:rPr>
                <w:noProof/>
                <w:sz w:val="18"/>
              </w:rPr>
              <w:t>Rok</w:t>
            </w:r>
            <w:r>
              <w:rPr>
                <w:noProof/>
                <w:sz w:val="22"/>
              </w:rPr>
              <w:br/>
            </w:r>
            <w:r>
              <w:rPr>
                <w:b/>
                <w:noProof/>
                <w:sz w:val="18"/>
              </w:rPr>
              <w:t>N</w:t>
            </w:r>
          </w:p>
        </w:tc>
        <w:tc>
          <w:tcPr>
            <w:tcW w:w="1260" w:type="dxa"/>
            <w:gridSpan w:val="2"/>
            <w:vAlign w:val="center"/>
          </w:tcPr>
          <w:p w:rsidR="00B90EE1" w:rsidRDefault="003A231F">
            <w:pPr>
              <w:ind w:right="-29"/>
              <w:jc w:val="center"/>
              <w:rPr>
                <w:noProof/>
                <w:sz w:val="18"/>
                <w:szCs w:val="18"/>
              </w:rPr>
            </w:pPr>
            <w:r>
              <w:rPr>
                <w:noProof/>
                <w:sz w:val="18"/>
              </w:rPr>
              <w:t>Rok</w:t>
            </w:r>
            <w:r>
              <w:rPr>
                <w:noProof/>
                <w:sz w:val="22"/>
              </w:rPr>
              <w:br/>
            </w:r>
            <w:r>
              <w:rPr>
                <w:b/>
                <w:noProof/>
                <w:sz w:val="18"/>
              </w:rPr>
              <w:t>N + 1</w:t>
            </w:r>
          </w:p>
        </w:tc>
        <w:tc>
          <w:tcPr>
            <w:tcW w:w="1440" w:type="dxa"/>
            <w:gridSpan w:val="2"/>
            <w:vAlign w:val="center"/>
          </w:tcPr>
          <w:p w:rsidR="00B90EE1" w:rsidRDefault="003A231F">
            <w:pPr>
              <w:ind w:right="-29"/>
              <w:jc w:val="center"/>
              <w:rPr>
                <w:noProof/>
                <w:sz w:val="18"/>
                <w:szCs w:val="18"/>
              </w:rPr>
            </w:pPr>
            <w:r>
              <w:rPr>
                <w:noProof/>
                <w:sz w:val="18"/>
              </w:rPr>
              <w:t>Rok</w:t>
            </w:r>
            <w:r>
              <w:rPr>
                <w:noProof/>
                <w:sz w:val="22"/>
              </w:rPr>
              <w:br/>
            </w:r>
            <w:r>
              <w:rPr>
                <w:b/>
                <w:noProof/>
                <w:sz w:val="18"/>
              </w:rPr>
              <w:t>N + 2</w:t>
            </w:r>
          </w:p>
        </w:tc>
        <w:tc>
          <w:tcPr>
            <w:tcW w:w="1620" w:type="dxa"/>
            <w:gridSpan w:val="3"/>
            <w:vAlign w:val="center"/>
          </w:tcPr>
          <w:p w:rsidR="00B90EE1" w:rsidRDefault="003A231F">
            <w:pPr>
              <w:ind w:right="-29"/>
              <w:jc w:val="center"/>
              <w:rPr>
                <w:noProof/>
                <w:sz w:val="18"/>
                <w:szCs w:val="18"/>
              </w:rPr>
            </w:pPr>
            <w:r>
              <w:rPr>
                <w:noProof/>
                <w:sz w:val="18"/>
              </w:rPr>
              <w:t>Rok</w:t>
            </w:r>
            <w:r>
              <w:rPr>
                <w:noProof/>
                <w:sz w:val="22"/>
              </w:rPr>
              <w:br/>
            </w:r>
            <w:r>
              <w:rPr>
                <w:b/>
                <w:noProof/>
                <w:sz w:val="18"/>
              </w:rPr>
              <w:t>N + 3</w:t>
            </w:r>
          </w:p>
        </w:tc>
        <w:tc>
          <w:tcPr>
            <w:tcW w:w="3600" w:type="dxa"/>
            <w:gridSpan w:val="6"/>
            <w:vAlign w:val="center"/>
          </w:tcPr>
          <w:p w:rsidR="00B90EE1" w:rsidRDefault="003A231F">
            <w:pPr>
              <w:jc w:val="center"/>
              <w:rPr>
                <w:noProof/>
                <w:sz w:val="18"/>
                <w:szCs w:val="18"/>
              </w:rPr>
            </w:pPr>
            <w:r>
              <w:rPr>
                <w:noProof/>
                <w:sz w:val="18"/>
              </w:rPr>
              <w:t>Uveďte všetky roky, počas ktorých vplyv trvá (pozri bod 1.6)</w:t>
            </w:r>
          </w:p>
        </w:tc>
        <w:tc>
          <w:tcPr>
            <w:tcW w:w="1620" w:type="dxa"/>
            <w:gridSpan w:val="2"/>
            <w:tcBorders>
              <w:left w:val="nil"/>
              <w:bottom w:val="nil"/>
            </w:tcBorders>
            <w:vAlign w:val="center"/>
          </w:tcPr>
          <w:p w:rsidR="00B90EE1" w:rsidRDefault="003A231F">
            <w:pPr>
              <w:ind w:right="-29"/>
              <w:jc w:val="center"/>
              <w:rPr>
                <w:noProof/>
                <w:sz w:val="18"/>
                <w:szCs w:val="18"/>
              </w:rPr>
            </w:pPr>
            <w:r>
              <w:rPr>
                <w:b/>
                <w:noProof/>
                <w:sz w:val="18"/>
              </w:rPr>
              <w:t>SPOLU</w:t>
            </w:r>
          </w:p>
        </w:tc>
      </w:tr>
      <w:tr w:rsidR="00B90EE1">
        <w:trPr>
          <w:jc w:val="center"/>
        </w:trPr>
        <w:tc>
          <w:tcPr>
            <w:tcW w:w="1423" w:type="dxa"/>
            <w:vMerge/>
            <w:vAlign w:val="center"/>
          </w:tcPr>
          <w:p w:rsidR="00B90EE1" w:rsidRDefault="00B90EE1">
            <w:pPr>
              <w:ind w:right="-29"/>
              <w:jc w:val="center"/>
              <w:rPr>
                <w:noProof/>
                <w:sz w:val="18"/>
                <w:szCs w:val="18"/>
              </w:rPr>
            </w:pPr>
          </w:p>
        </w:tc>
        <w:tc>
          <w:tcPr>
            <w:tcW w:w="12185" w:type="dxa"/>
            <w:gridSpan w:val="19"/>
            <w:vAlign w:val="center"/>
          </w:tcPr>
          <w:p w:rsidR="00B90EE1" w:rsidRDefault="003A231F">
            <w:pPr>
              <w:spacing w:before="60" w:after="60"/>
              <w:ind w:right="-29"/>
              <w:jc w:val="center"/>
              <w:rPr>
                <w:noProof/>
                <w:sz w:val="18"/>
                <w:szCs w:val="18"/>
              </w:rPr>
            </w:pPr>
            <w:r>
              <w:rPr>
                <w:b/>
                <w:noProof/>
                <w:sz w:val="18"/>
              </w:rPr>
              <w:t>VÝSTUPY</w:t>
            </w:r>
          </w:p>
        </w:tc>
      </w:tr>
      <w:tr w:rsidR="00B90EE1">
        <w:trPr>
          <w:cantSplit/>
          <w:trHeight w:val="1134"/>
          <w:jc w:val="center"/>
        </w:trPr>
        <w:tc>
          <w:tcPr>
            <w:tcW w:w="1423" w:type="dxa"/>
            <w:vMerge/>
            <w:vAlign w:val="center"/>
          </w:tcPr>
          <w:p w:rsidR="00B90EE1" w:rsidRDefault="00B90EE1">
            <w:pPr>
              <w:rPr>
                <w:noProof/>
                <w:sz w:val="18"/>
                <w:szCs w:val="18"/>
              </w:rPr>
            </w:pPr>
          </w:p>
        </w:tc>
        <w:tc>
          <w:tcPr>
            <w:tcW w:w="720" w:type="dxa"/>
            <w:vAlign w:val="center"/>
          </w:tcPr>
          <w:p w:rsidR="00B90EE1" w:rsidRDefault="003A231F">
            <w:pPr>
              <w:jc w:val="center"/>
              <w:rPr>
                <w:noProof/>
                <w:sz w:val="18"/>
                <w:szCs w:val="18"/>
              </w:rPr>
            </w:pPr>
            <w:r>
              <w:rPr>
                <w:noProof/>
                <w:sz w:val="18"/>
              </w:rPr>
              <w:t>Druh</w:t>
            </w:r>
            <w:r>
              <w:rPr>
                <w:rStyle w:val="Odkaznapoznmkupodiarou"/>
                <w:noProof/>
                <w:sz w:val="18"/>
              </w:rPr>
              <w:footnoteReference w:id="34"/>
            </w:r>
          </w:p>
          <w:p w:rsidR="00B90EE1" w:rsidRDefault="00B90EE1">
            <w:pPr>
              <w:spacing w:before="0" w:after="0"/>
              <w:jc w:val="center"/>
              <w:rPr>
                <w:noProof/>
                <w:sz w:val="18"/>
                <w:szCs w:val="18"/>
              </w:rPr>
            </w:pPr>
          </w:p>
        </w:tc>
        <w:tc>
          <w:tcPr>
            <w:tcW w:w="701" w:type="dxa"/>
            <w:vAlign w:val="center"/>
          </w:tcPr>
          <w:p w:rsidR="00B90EE1" w:rsidRDefault="003A231F">
            <w:pPr>
              <w:jc w:val="center"/>
              <w:rPr>
                <w:noProof/>
                <w:sz w:val="18"/>
                <w:szCs w:val="18"/>
              </w:rPr>
            </w:pPr>
            <w:r>
              <w:rPr>
                <w:noProof/>
                <w:sz w:val="18"/>
              </w:rPr>
              <w:t>Priemerné náklady</w:t>
            </w:r>
          </w:p>
        </w:tc>
        <w:tc>
          <w:tcPr>
            <w:tcW w:w="504" w:type="dxa"/>
            <w:tcBorders>
              <w:left w:val="nil"/>
              <w:right w:val="dashSmallGap" w:sz="4" w:space="0" w:color="auto"/>
            </w:tcBorders>
            <w:shd w:val="pct10" w:color="auto" w:fill="auto"/>
            <w:textDirection w:val="btLr"/>
            <w:vAlign w:val="center"/>
          </w:tcPr>
          <w:p w:rsidR="00B90EE1" w:rsidRDefault="003A231F">
            <w:pPr>
              <w:ind w:left="113" w:right="113"/>
              <w:jc w:val="center"/>
              <w:rPr>
                <w:noProof/>
                <w:sz w:val="18"/>
                <w:szCs w:val="18"/>
              </w:rPr>
            </w:pPr>
            <w:r>
              <w:rPr>
                <w:noProof/>
                <w:sz w:val="18"/>
              </w:rPr>
              <w:t>Počet</w:t>
            </w:r>
          </w:p>
        </w:tc>
        <w:tc>
          <w:tcPr>
            <w:tcW w:w="720" w:type="dxa"/>
            <w:tcBorders>
              <w:left w:val="dashSmallGap" w:sz="4" w:space="0" w:color="auto"/>
            </w:tcBorders>
            <w:shd w:val="pct10" w:color="auto" w:fill="auto"/>
            <w:vAlign w:val="center"/>
          </w:tcPr>
          <w:p w:rsidR="00B90EE1" w:rsidRDefault="003A231F">
            <w:pPr>
              <w:jc w:val="center"/>
              <w:rPr>
                <w:noProof/>
                <w:sz w:val="18"/>
                <w:szCs w:val="18"/>
              </w:rPr>
            </w:pPr>
            <w:r>
              <w:rPr>
                <w:noProof/>
                <w:sz w:val="18"/>
              </w:rPr>
              <w:t>Náklady</w:t>
            </w:r>
          </w:p>
        </w:tc>
        <w:tc>
          <w:tcPr>
            <w:tcW w:w="540" w:type="dxa"/>
            <w:tcBorders>
              <w:right w:val="dashSmallGap" w:sz="4" w:space="0" w:color="auto"/>
            </w:tcBorders>
            <w:shd w:val="pct10" w:color="auto" w:fill="auto"/>
            <w:textDirection w:val="btLr"/>
            <w:vAlign w:val="center"/>
          </w:tcPr>
          <w:p w:rsidR="00B90EE1" w:rsidRDefault="003A231F">
            <w:pPr>
              <w:ind w:left="113" w:right="113"/>
              <w:jc w:val="center"/>
              <w:rPr>
                <w:noProof/>
                <w:sz w:val="18"/>
                <w:szCs w:val="18"/>
              </w:rPr>
            </w:pPr>
            <w:r>
              <w:rPr>
                <w:noProof/>
                <w:sz w:val="18"/>
              </w:rPr>
              <w:t>Počet</w:t>
            </w:r>
          </w:p>
        </w:tc>
        <w:tc>
          <w:tcPr>
            <w:tcW w:w="720" w:type="dxa"/>
            <w:tcBorders>
              <w:left w:val="dashSmallGap" w:sz="4" w:space="0" w:color="auto"/>
            </w:tcBorders>
            <w:shd w:val="pct10" w:color="auto" w:fill="auto"/>
            <w:vAlign w:val="center"/>
          </w:tcPr>
          <w:p w:rsidR="00B90EE1" w:rsidRDefault="003A231F">
            <w:pPr>
              <w:jc w:val="center"/>
              <w:rPr>
                <w:noProof/>
                <w:sz w:val="18"/>
                <w:szCs w:val="18"/>
              </w:rPr>
            </w:pPr>
            <w:r>
              <w:rPr>
                <w:noProof/>
                <w:sz w:val="18"/>
              </w:rPr>
              <w:t>Náklady</w:t>
            </w:r>
          </w:p>
        </w:tc>
        <w:tc>
          <w:tcPr>
            <w:tcW w:w="720" w:type="dxa"/>
            <w:tcBorders>
              <w:right w:val="dashSmallGap" w:sz="4" w:space="0" w:color="auto"/>
            </w:tcBorders>
            <w:shd w:val="pct10" w:color="auto" w:fill="auto"/>
            <w:textDirection w:val="btLr"/>
            <w:vAlign w:val="center"/>
          </w:tcPr>
          <w:p w:rsidR="00B90EE1" w:rsidRDefault="003A231F">
            <w:pPr>
              <w:ind w:left="113" w:right="113"/>
              <w:jc w:val="center"/>
              <w:rPr>
                <w:noProof/>
                <w:sz w:val="18"/>
                <w:szCs w:val="18"/>
              </w:rPr>
            </w:pPr>
            <w:r>
              <w:rPr>
                <w:noProof/>
                <w:sz w:val="18"/>
              </w:rPr>
              <w:t>Počet</w:t>
            </w:r>
          </w:p>
        </w:tc>
        <w:tc>
          <w:tcPr>
            <w:tcW w:w="720" w:type="dxa"/>
            <w:tcBorders>
              <w:left w:val="dashSmallGap" w:sz="4" w:space="0" w:color="auto"/>
            </w:tcBorders>
            <w:shd w:val="pct10" w:color="auto" w:fill="auto"/>
            <w:vAlign w:val="center"/>
          </w:tcPr>
          <w:p w:rsidR="00B90EE1" w:rsidRDefault="003A231F">
            <w:pPr>
              <w:jc w:val="center"/>
              <w:rPr>
                <w:noProof/>
                <w:sz w:val="18"/>
                <w:szCs w:val="18"/>
              </w:rPr>
            </w:pPr>
            <w:r>
              <w:rPr>
                <w:noProof/>
                <w:sz w:val="18"/>
              </w:rPr>
              <w:t>Náklady</w:t>
            </w:r>
          </w:p>
        </w:tc>
        <w:tc>
          <w:tcPr>
            <w:tcW w:w="900" w:type="dxa"/>
            <w:tcBorders>
              <w:right w:val="dashSmallGap" w:sz="4" w:space="0" w:color="auto"/>
            </w:tcBorders>
            <w:shd w:val="pct10" w:color="auto" w:fill="auto"/>
            <w:textDirection w:val="btLr"/>
            <w:vAlign w:val="center"/>
          </w:tcPr>
          <w:p w:rsidR="00B90EE1" w:rsidRDefault="003A231F">
            <w:pPr>
              <w:ind w:left="113" w:right="113"/>
              <w:jc w:val="center"/>
              <w:rPr>
                <w:noProof/>
                <w:sz w:val="18"/>
                <w:szCs w:val="18"/>
              </w:rPr>
            </w:pPr>
            <w:r>
              <w:rPr>
                <w:noProof/>
                <w:sz w:val="18"/>
              </w:rPr>
              <w:t>Počet</w:t>
            </w:r>
          </w:p>
        </w:tc>
        <w:tc>
          <w:tcPr>
            <w:tcW w:w="720" w:type="dxa"/>
            <w:gridSpan w:val="2"/>
            <w:tcBorders>
              <w:left w:val="dashSmallGap" w:sz="4" w:space="0" w:color="auto"/>
            </w:tcBorders>
            <w:shd w:val="pct10" w:color="auto" w:fill="auto"/>
            <w:vAlign w:val="center"/>
          </w:tcPr>
          <w:p w:rsidR="00B90EE1" w:rsidRDefault="003A231F">
            <w:pPr>
              <w:jc w:val="center"/>
              <w:rPr>
                <w:noProof/>
                <w:sz w:val="18"/>
                <w:szCs w:val="18"/>
              </w:rPr>
            </w:pPr>
            <w:r>
              <w:rPr>
                <w:noProof/>
                <w:sz w:val="18"/>
              </w:rPr>
              <w:t>Náklady</w:t>
            </w:r>
          </w:p>
        </w:tc>
        <w:tc>
          <w:tcPr>
            <w:tcW w:w="540" w:type="dxa"/>
            <w:tcBorders>
              <w:right w:val="dashSmallGap" w:sz="4" w:space="0" w:color="auto"/>
            </w:tcBorders>
            <w:shd w:val="pct10" w:color="auto" w:fill="auto"/>
            <w:textDirection w:val="btLr"/>
            <w:vAlign w:val="center"/>
          </w:tcPr>
          <w:p w:rsidR="00B90EE1" w:rsidRDefault="003A231F">
            <w:pPr>
              <w:ind w:left="113" w:right="113"/>
              <w:jc w:val="center"/>
              <w:rPr>
                <w:noProof/>
                <w:sz w:val="18"/>
                <w:szCs w:val="18"/>
              </w:rPr>
            </w:pPr>
            <w:r>
              <w:rPr>
                <w:noProof/>
                <w:sz w:val="18"/>
              </w:rPr>
              <w:t>Počet</w:t>
            </w:r>
          </w:p>
        </w:tc>
        <w:tc>
          <w:tcPr>
            <w:tcW w:w="648" w:type="dxa"/>
            <w:tcBorders>
              <w:left w:val="dashSmallGap" w:sz="4" w:space="0" w:color="auto"/>
            </w:tcBorders>
            <w:shd w:val="pct10" w:color="auto" w:fill="auto"/>
            <w:vAlign w:val="center"/>
          </w:tcPr>
          <w:p w:rsidR="00B90EE1" w:rsidRDefault="003A231F">
            <w:pPr>
              <w:jc w:val="center"/>
              <w:rPr>
                <w:noProof/>
                <w:sz w:val="18"/>
                <w:szCs w:val="18"/>
              </w:rPr>
            </w:pPr>
            <w:r>
              <w:rPr>
                <w:noProof/>
                <w:sz w:val="18"/>
              </w:rPr>
              <w:t>Náklady</w:t>
            </w:r>
          </w:p>
        </w:tc>
        <w:tc>
          <w:tcPr>
            <w:tcW w:w="432" w:type="dxa"/>
            <w:tcBorders>
              <w:right w:val="dashSmallGap" w:sz="4" w:space="0" w:color="auto"/>
            </w:tcBorders>
            <w:shd w:val="pct10" w:color="auto" w:fill="auto"/>
            <w:textDirection w:val="btLr"/>
            <w:vAlign w:val="center"/>
          </w:tcPr>
          <w:p w:rsidR="00B90EE1" w:rsidRDefault="003A231F">
            <w:pPr>
              <w:ind w:left="113" w:right="113"/>
              <w:jc w:val="center"/>
              <w:rPr>
                <w:noProof/>
                <w:sz w:val="18"/>
                <w:szCs w:val="18"/>
              </w:rPr>
            </w:pPr>
            <w:r>
              <w:rPr>
                <w:noProof/>
                <w:sz w:val="18"/>
              </w:rPr>
              <w:t>Počet</w:t>
            </w:r>
          </w:p>
        </w:tc>
        <w:tc>
          <w:tcPr>
            <w:tcW w:w="720" w:type="dxa"/>
            <w:tcBorders>
              <w:left w:val="dashSmallGap" w:sz="4" w:space="0" w:color="auto"/>
            </w:tcBorders>
            <w:shd w:val="pct10" w:color="auto" w:fill="auto"/>
            <w:vAlign w:val="center"/>
          </w:tcPr>
          <w:p w:rsidR="00B90EE1" w:rsidRDefault="003A231F">
            <w:pPr>
              <w:jc w:val="center"/>
              <w:rPr>
                <w:noProof/>
                <w:sz w:val="18"/>
                <w:szCs w:val="18"/>
              </w:rPr>
            </w:pPr>
            <w:r>
              <w:rPr>
                <w:noProof/>
                <w:sz w:val="18"/>
              </w:rPr>
              <w:t>Náklady</w:t>
            </w:r>
          </w:p>
        </w:tc>
        <w:tc>
          <w:tcPr>
            <w:tcW w:w="540" w:type="dxa"/>
            <w:tcBorders>
              <w:right w:val="dashSmallGap" w:sz="4" w:space="0" w:color="auto"/>
            </w:tcBorders>
            <w:shd w:val="pct10" w:color="auto" w:fill="auto"/>
            <w:textDirection w:val="btLr"/>
            <w:vAlign w:val="center"/>
          </w:tcPr>
          <w:p w:rsidR="00B90EE1" w:rsidRDefault="003A231F">
            <w:pPr>
              <w:ind w:left="113" w:right="113"/>
              <w:jc w:val="center"/>
              <w:rPr>
                <w:noProof/>
                <w:sz w:val="18"/>
                <w:szCs w:val="18"/>
              </w:rPr>
            </w:pPr>
            <w:r>
              <w:rPr>
                <w:noProof/>
                <w:sz w:val="18"/>
              </w:rPr>
              <w:t>Počet</w:t>
            </w:r>
          </w:p>
        </w:tc>
        <w:tc>
          <w:tcPr>
            <w:tcW w:w="720" w:type="dxa"/>
            <w:tcBorders>
              <w:left w:val="dashSmallGap" w:sz="4" w:space="0" w:color="auto"/>
            </w:tcBorders>
            <w:shd w:val="pct10" w:color="auto" w:fill="auto"/>
            <w:vAlign w:val="center"/>
          </w:tcPr>
          <w:p w:rsidR="00B90EE1" w:rsidRDefault="003A231F">
            <w:pPr>
              <w:jc w:val="center"/>
              <w:rPr>
                <w:noProof/>
                <w:sz w:val="18"/>
                <w:szCs w:val="18"/>
              </w:rPr>
            </w:pPr>
            <w:r>
              <w:rPr>
                <w:noProof/>
                <w:sz w:val="18"/>
              </w:rPr>
              <w:t>Náklady</w:t>
            </w:r>
          </w:p>
        </w:tc>
        <w:tc>
          <w:tcPr>
            <w:tcW w:w="720" w:type="dxa"/>
            <w:tcBorders>
              <w:right w:val="dashSmallGap" w:sz="4" w:space="0" w:color="auto"/>
            </w:tcBorders>
            <w:shd w:val="pct10" w:color="auto" w:fill="auto"/>
            <w:vAlign w:val="center"/>
          </w:tcPr>
          <w:p w:rsidR="00B90EE1" w:rsidRDefault="003A231F">
            <w:pPr>
              <w:jc w:val="center"/>
              <w:rPr>
                <w:noProof/>
                <w:sz w:val="18"/>
                <w:szCs w:val="18"/>
              </w:rPr>
            </w:pPr>
            <w:r>
              <w:rPr>
                <w:noProof/>
                <w:sz w:val="18"/>
              </w:rPr>
              <w:t>Celkový počet</w:t>
            </w:r>
          </w:p>
        </w:tc>
        <w:tc>
          <w:tcPr>
            <w:tcW w:w="900" w:type="dxa"/>
            <w:tcBorders>
              <w:left w:val="dashSmallGap" w:sz="4" w:space="0" w:color="auto"/>
            </w:tcBorders>
            <w:shd w:val="pct10" w:color="auto" w:fill="auto"/>
            <w:vAlign w:val="center"/>
          </w:tcPr>
          <w:p w:rsidR="00B90EE1" w:rsidRDefault="003A231F">
            <w:pPr>
              <w:jc w:val="center"/>
              <w:rPr>
                <w:noProof/>
                <w:sz w:val="18"/>
                <w:szCs w:val="18"/>
              </w:rPr>
            </w:pPr>
            <w:r>
              <w:rPr>
                <w:noProof/>
                <w:sz w:val="18"/>
              </w:rPr>
              <w:t>Náklady spolu</w:t>
            </w:r>
          </w:p>
        </w:tc>
      </w:tr>
      <w:tr w:rsidR="00B90EE1">
        <w:trPr>
          <w:jc w:val="center"/>
        </w:trPr>
        <w:tc>
          <w:tcPr>
            <w:tcW w:w="2844" w:type="dxa"/>
            <w:gridSpan w:val="3"/>
            <w:vAlign w:val="center"/>
          </w:tcPr>
          <w:p w:rsidR="00B90EE1" w:rsidRDefault="003A231F">
            <w:pPr>
              <w:spacing w:before="60" w:after="60"/>
              <w:ind w:right="-29"/>
              <w:jc w:val="center"/>
              <w:rPr>
                <w:noProof/>
                <w:sz w:val="18"/>
                <w:szCs w:val="18"/>
              </w:rPr>
            </w:pPr>
            <w:r>
              <w:rPr>
                <w:noProof/>
                <w:sz w:val="18"/>
              </w:rPr>
              <w:t>OSOBITNÝ CIEĽ č. 1</w:t>
            </w:r>
            <w:r>
              <w:rPr>
                <w:rStyle w:val="Odkaznapoznmkupodiarou"/>
                <w:noProof/>
                <w:sz w:val="18"/>
              </w:rPr>
              <w:footnoteReference w:id="35"/>
            </w:r>
            <w:r>
              <w:rPr>
                <w:noProof/>
                <w:sz w:val="18"/>
              </w:rPr>
              <w:t>…</w:t>
            </w:r>
          </w:p>
        </w:tc>
        <w:tc>
          <w:tcPr>
            <w:tcW w:w="504" w:type="dxa"/>
            <w:tcBorders>
              <w:top w:val="nil"/>
              <w:left w:val="nil"/>
              <w:bottom w:val="nil"/>
              <w:right w:val="nil"/>
            </w:tcBorders>
          </w:tcPr>
          <w:p w:rsidR="00B90EE1" w:rsidRDefault="00B90EE1">
            <w:pPr>
              <w:spacing w:before="60" w:after="60"/>
              <w:ind w:right="-29"/>
              <w:jc w:val="center"/>
              <w:rPr>
                <w:noProof/>
                <w:sz w:val="18"/>
                <w:szCs w:val="18"/>
              </w:rPr>
            </w:pPr>
          </w:p>
        </w:tc>
        <w:tc>
          <w:tcPr>
            <w:tcW w:w="720" w:type="dxa"/>
            <w:tcBorders>
              <w:top w:val="nil"/>
              <w:left w:val="nil"/>
              <w:bottom w:val="nil"/>
              <w:right w:val="nil"/>
            </w:tcBorders>
          </w:tcPr>
          <w:p w:rsidR="00B90EE1" w:rsidRDefault="00B90EE1">
            <w:pPr>
              <w:spacing w:before="60" w:after="60"/>
              <w:ind w:right="-29"/>
              <w:jc w:val="center"/>
              <w:rPr>
                <w:noProof/>
                <w:sz w:val="18"/>
                <w:szCs w:val="18"/>
              </w:rPr>
            </w:pPr>
          </w:p>
        </w:tc>
        <w:tc>
          <w:tcPr>
            <w:tcW w:w="540" w:type="dxa"/>
            <w:tcBorders>
              <w:top w:val="nil"/>
              <w:left w:val="nil"/>
              <w:bottom w:val="nil"/>
              <w:right w:val="nil"/>
            </w:tcBorders>
          </w:tcPr>
          <w:p w:rsidR="00B90EE1" w:rsidRDefault="00B90EE1">
            <w:pPr>
              <w:spacing w:before="60" w:after="60"/>
              <w:ind w:right="-29"/>
              <w:jc w:val="center"/>
              <w:rPr>
                <w:noProof/>
                <w:sz w:val="18"/>
                <w:szCs w:val="18"/>
              </w:rPr>
            </w:pPr>
          </w:p>
        </w:tc>
        <w:tc>
          <w:tcPr>
            <w:tcW w:w="720" w:type="dxa"/>
            <w:tcBorders>
              <w:top w:val="nil"/>
              <w:left w:val="nil"/>
              <w:bottom w:val="nil"/>
              <w:right w:val="nil"/>
            </w:tcBorders>
          </w:tcPr>
          <w:p w:rsidR="00B90EE1" w:rsidRDefault="00B90EE1">
            <w:pPr>
              <w:spacing w:before="60" w:after="60"/>
              <w:ind w:right="-29"/>
              <w:jc w:val="center"/>
              <w:rPr>
                <w:noProof/>
                <w:sz w:val="18"/>
                <w:szCs w:val="18"/>
              </w:rPr>
            </w:pPr>
          </w:p>
        </w:tc>
        <w:tc>
          <w:tcPr>
            <w:tcW w:w="720" w:type="dxa"/>
            <w:tcBorders>
              <w:top w:val="nil"/>
              <w:left w:val="nil"/>
              <w:bottom w:val="nil"/>
              <w:right w:val="nil"/>
            </w:tcBorders>
          </w:tcPr>
          <w:p w:rsidR="00B90EE1" w:rsidRDefault="00B90EE1">
            <w:pPr>
              <w:spacing w:before="60" w:after="60"/>
              <w:ind w:right="-29"/>
              <w:jc w:val="center"/>
              <w:rPr>
                <w:noProof/>
                <w:sz w:val="18"/>
                <w:szCs w:val="18"/>
              </w:rPr>
            </w:pPr>
          </w:p>
        </w:tc>
        <w:tc>
          <w:tcPr>
            <w:tcW w:w="720" w:type="dxa"/>
            <w:tcBorders>
              <w:top w:val="nil"/>
              <w:left w:val="nil"/>
              <w:bottom w:val="nil"/>
              <w:right w:val="nil"/>
            </w:tcBorders>
          </w:tcPr>
          <w:p w:rsidR="00B90EE1" w:rsidRDefault="00B90EE1">
            <w:pPr>
              <w:spacing w:before="60" w:after="60"/>
              <w:ind w:right="-29"/>
              <w:jc w:val="center"/>
              <w:rPr>
                <w:noProof/>
                <w:sz w:val="18"/>
                <w:szCs w:val="18"/>
              </w:rPr>
            </w:pPr>
          </w:p>
        </w:tc>
        <w:tc>
          <w:tcPr>
            <w:tcW w:w="900" w:type="dxa"/>
            <w:tcBorders>
              <w:top w:val="nil"/>
              <w:left w:val="nil"/>
              <w:bottom w:val="nil"/>
              <w:right w:val="nil"/>
            </w:tcBorders>
          </w:tcPr>
          <w:p w:rsidR="00B90EE1" w:rsidRDefault="00B90EE1">
            <w:pPr>
              <w:spacing w:before="60" w:after="60"/>
              <w:ind w:right="-29"/>
              <w:jc w:val="center"/>
              <w:rPr>
                <w:noProof/>
                <w:sz w:val="18"/>
                <w:szCs w:val="18"/>
              </w:rPr>
            </w:pPr>
          </w:p>
        </w:tc>
        <w:tc>
          <w:tcPr>
            <w:tcW w:w="720" w:type="dxa"/>
            <w:gridSpan w:val="2"/>
            <w:tcBorders>
              <w:top w:val="nil"/>
              <w:left w:val="nil"/>
              <w:bottom w:val="nil"/>
              <w:right w:val="nil"/>
            </w:tcBorders>
          </w:tcPr>
          <w:p w:rsidR="00B90EE1" w:rsidRDefault="00B90EE1">
            <w:pPr>
              <w:spacing w:before="60" w:after="60"/>
              <w:ind w:right="-29"/>
              <w:jc w:val="center"/>
              <w:rPr>
                <w:noProof/>
                <w:sz w:val="18"/>
                <w:szCs w:val="18"/>
              </w:rPr>
            </w:pPr>
          </w:p>
        </w:tc>
        <w:tc>
          <w:tcPr>
            <w:tcW w:w="540" w:type="dxa"/>
            <w:tcBorders>
              <w:top w:val="nil"/>
              <w:left w:val="nil"/>
              <w:bottom w:val="nil"/>
              <w:right w:val="nil"/>
            </w:tcBorders>
          </w:tcPr>
          <w:p w:rsidR="00B90EE1" w:rsidRDefault="00B90EE1">
            <w:pPr>
              <w:spacing w:before="60" w:after="60"/>
              <w:ind w:right="-29"/>
              <w:jc w:val="center"/>
              <w:rPr>
                <w:noProof/>
                <w:sz w:val="18"/>
                <w:szCs w:val="18"/>
              </w:rPr>
            </w:pPr>
          </w:p>
        </w:tc>
        <w:tc>
          <w:tcPr>
            <w:tcW w:w="648" w:type="dxa"/>
            <w:tcBorders>
              <w:top w:val="nil"/>
              <w:left w:val="nil"/>
              <w:bottom w:val="nil"/>
              <w:right w:val="nil"/>
            </w:tcBorders>
          </w:tcPr>
          <w:p w:rsidR="00B90EE1" w:rsidRDefault="00B90EE1">
            <w:pPr>
              <w:spacing w:before="60" w:after="60"/>
              <w:ind w:right="-29"/>
              <w:jc w:val="center"/>
              <w:rPr>
                <w:noProof/>
                <w:sz w:val="18"/>
                <w:szCs w:val="18"/>
              </w:rPr>
            </w:pPr>
          </w:p>
        </w:tc>
        <w:tc>
          <w:tcPr>
            <w:tcW w:w="432" w:type="dxa"/>
            <w:tcBorders>
              <w:top w:val="nil"/>
              <w:left w:val="nil"/>
              <w:bottom w:val="nil"/>
              <w:right w:val="nil"/>
            </w:tcBorders>
          </w:tcPr>
          <w:p w:rsidR="00B90EE1" w:rsidRDefault="00B90EE1">
            <w:pPr>
              <w:spacing w:before="60" w:after="60"/>
              <w:ind w:right="-29"/>
              <w:jc w:val="center"/>
              <w:rPr>
                <w:noProof/>
                <w:sz w:val="18"/>
                <w:szCs w:val="18"/>
              </w:rPr>
            </w:pPr>
          </w:p>
        </w:tc>
        <w:tc>
          <w:tcPr>
            <w:tcW w:w="720" w:type="dxa"/>
            <w:tcBorders>
              <w:top w:val="nil"/>
              <w:left w:val="nil"/>
              <w:bottom w:val="nil"/>
              <w:right w:val="nil"/>
            </w:tcBorders>
          </w:tcPr>
          <w:p w:rsidR="00B90EE1" w:rsidRDefault="00B90EE1">
            <w:pPr>
              <w:spacing w:before="60" w:after="60"/>
              <w:ind w:right="-29"/>
              <w:jc w:val="center"/>
              <w:rPr>
                <w:noProof/>
                <w:sz w:val="18"/>
                <w:szCs w:val="18"/>
              </w:rPr>
            </w:pPr>
          </w:p>
        </w:tc>
        <w:tc>
          <w:tcPr>
            <w:tcW w:w="540" w:type="dxa"/>
            <w:tcBorders>
              <w:top w:val="nil"/>
              <w:left w:val="nil"/>
              <w:bottom w:val="nil"/>
              <w:right w:val="nil"/>
            </w:tcBorders>
          </w:tcPr>
          <w:p w:rsidR="00B90EE1" w:rsidRDefault="00B90EE1">
            <w:pPr>
              <w:spacing w:before="60" w:after="60"/>
              <w:ind w:right="-29"/>
              <w:jc w:val="center"/>
              <w:rPr>
                <w:noProof/>
                <w:sz w:val="18"/>
                <w:szCs w:val="18"/>
              </w:rPr>
            </w:pPr>
          </w:p>
        </w:tc>
        <w:tc>
          <w:tcPr>
            <w:tcW w:w="720" w:type="dxa"/>
            <w:tcBorders>
              <w:top w:val="nil"/>
              <w:left w:val="nil"/>
              <w:bottom w:val="nil"/>
              <w:right w:val="nil"/>
            </w:tcBorders>
          </w:tcPr>
          <w:p w:rsidR="00B90EE1" w:rsidRDefault="00B90EE1">
            <w:pPr>
              <w:spacing w:before="60" w:after="60"/>
              <w:ind w:right="-29"/>
              <w:jc w:val="center"/>
              <w:rPr>
                <w:noProof/>
                <w:sz w:val="18"/>
                <w:szCs w:val="18"/>
              </w:rPr>
            </w:pPr>
          </w:p>
        </w:tc>
        <w:tc>
          <w:tcPr>
            <w:tcW w:w="720" w:type="dxa"/>
            <w:tcBorders>
              <w:top w:val="nil"/>
              <w:left w:val="nil"/>
              <w:bottom w:val="nil"/>
              <w:right w:val="nil"/>
            </w:tcBorders>
          </w:tcPr>
          <w:p w:rsidR="00B90EE1" w:rsidRDefault="00B90EE1">
            <w:pPr>
              <w:spacing w:before="60" w:after="60"/>
              <w:ind w:right="-29"/>
              <w:jc w:val="center"/>
              <w:rPr>
                <w:noProof/>
                <w:sz w:val="18"/>
                <w:szCs w:val="18"/>
              </w:rPr>
            </w:pPr>
          </w:p>
        </w:tc>
        <w:tc>
          <w:tcPr>
            <w:tcW w:w="900" w:type="dxa"/>
            <w:tcBorders>
              <w:top w:val="nil"/>
              <w:left w:val="nil"/>
              <w:bottom w:val="nil"/>
              <w:right w:val="nil"/>
            </w:tcBorders>
          </w:tcPr>
          <w:p w:rsidR="00B90EE1" w:rsidRDefault="00B90EE1">
            <w:pPr>
              <w:spacing w:before="60" w:after="60"/>
              <w:ind w:right="-29"/>
              <w:jc w:val="center"/>
              <w:rPr>
                <w:noProof/>
                <w:sz w:val="18"/>
                <w:szCs w:val="18"/>
              </w:rPr>
            </w:pPr>
          </w:p>
        </w:tc>
      </w:tr>
      <w:tr w:rsidR="00B90EE1">
        <w:trPr>
          <w:trHeight w:hRule="exact" w:val="369"/>
          <w:jc w:val="center"/>
        </w:trPr>
        <w:tc>
          <w:tcPr>
            <w:tcW w:w="1423" w:type="dxa"/>
          </w:tcPr>
          <w:p w:rsidR="00B90EE1" w:rsidRDefault="003A231F">
            <w:pPr>
              <w:ind w:right="-29"/>
              <w:jc w:val="center"/>
              <w:rPr>
                <w:noProof/>
                <w:sz w:val="18"/>
                <w:szCs w:val="18"/>
              </w:rPr>
            </w:pPr>
            <w:r>
              <w:rPr>
                <w:noProof/>
                <w:sz w:val="18"/>
              </w:rPr>
              <w:t>‒</w:t>
            </w:r>
            <w:r>
              <w:rPr>
                <w:noProof/>
                <w:sz w:val="18"/>
              </w:rPr>
              <w:t xml:space="preserve"> Výstup</w:t>
            </w:r>
          </w:p>
        </w:tc>
        <w:tc>
          <w:tcPr>
            <w:tcW w:w="720" w:type="dxa"/>
          </w:tcPr>
          <w:p w:rsidR="00B90EE1" w:rsidRDefault="00B90EE1">
            <w:pPr>
              <w:ind w:right="-29"/>
              <w:jc w:val="center"/>
              <w:rPr>
                <w:noProof/>
                <w:sz w:val="18"/>
                <w:szCs w:val="18"/>
              </w:rPr>
            </w:pPr>
          </w:p>
        </w:tc>
        <w:tc>
          <w:tcPr>
            <w:tcW w:w="701" w:type="dxa"/>
          </w:tcPr>
          <w:p w:rsidR="00B90EE1" w:rsidRDefault="00B90EE1">
            <w:pPr>
              <w:ind w:right="-29"/>
              <w:jc w:val="center"/>
              <w:rPr>
                <w:noProof/>
                <w:sz w:val="18"/>
                <w:szCs w:val="18"/>
              </w:rPr>
            </w:pPr>
          </w:p>
        </w:tc>
        <w:tc>
          <w:tcPr>
            <w:tcW w:w="504" w:type="dxa"/>
            <w:tcBorders>
              <w:right w:val="dashSmallGap" w:sz="4" w:space="0" w:color="auto"/>
            </w:tcBorders>
          </w:tcPr>
          <w:p w:rsidR="00B90EE1" w:rsidRDefault="00B90EE1">
            <w:pPr>
              <w:ind w:right="-29"/>
              <w:jc w:val="center"/>
              <w:rPr>
                <w:noProof/>
                <w:sz w:val="18"/>
                <w:szCs w:val="18"/>
              </w:rPr>
            </w:pPr>
          </w:p>
        </w:tc>
        <w:tc>
          <w:tcPr>
            <w:tcW w:w="720" w:type="dxa"/>
            <w:tcBorders>
              <w:left w:val="dashSmallGap" w:sz="4" w:space="0" w:color="auto"/>
            </w:tcBorders>
          </w:tcPr>
          <w:p w:rsidR="00B90EE1" w:rsidRDefault="00B90EE1">
            <w:pPr>
              <w:ind w:right="-29"/>
              <w:jc w:val="center"/>
              <w:rPr>
                <w:noProof/>
                <w:sz w:val="18"/>
                <w:szCs w:val="18"/>
              </w:rPr>
            </w:pPr>
          </w:p>
        </w:tc>
        <w:tc>
          <w:tcPr>
            <w:tcW w:w="540" w:type="dxa"/>
            <w:tcBorders>
              <w:right w:val="dashSmallGap" w:sz="4" w:space="0" w:color="auto"/>
            </w:tcBorders>
          </w:tcPr>
          <w:p w:rsidR="00B90EE1" w:rsidRDefault="00B90EE1">
            <w:pPr>
              <w:ind w:right="-29"/>
              <w:jc w:val="center"/>
              <w:rPr>
                <w:noProof/>
                <w:sz w:val="18"/>
                <w:szCs w:val="18"/>
              </w:rPr>
            </w:pPr>
          </w:p>
        </w:tc>
        <w:tc>
          <w:tcPr>
            <w:tcW w:w="720" w:type="dxa"/>
            <w:tcBorders>
              <w:left w:val="dashSmallGap" w:sz="4" w:space="0" w:color="auto"/>
            </w:tcBorders>
          </w:tcPr>
          <w:p w:rsidR="00B90EE1" w:rsidRDefault="00B90EE1">
            <w:pPr>
              <w:ind w:right="-29"/>
              <w:jc w:val="center"/>
              <w:rPr>
                <w:noProof/>
                <w:sz w:val="18"/>
                <w:szCs w:val="18"/>
              </w:rPr>
            </w:pPr>
          </w:p>
        </w:tc>
        <w:tc>
          <w:tcPr>
            <w:tcW w:w="720" w:type="dxa"/>
            <w:tcBorders>
              <w:right w:val="dashSmallGap" w:sz="4" w:space="0" w:color="auto"/>
            </w:tcBorders>
          </w:tcPr>
          <w:p w:rsidR="00B90EE1" w:rsidRDefault="00B90EE1">
            <w:pPr>
              <w:ind w:right="-29"/>
              <w:jc w:val="center"/>
              <w:rPr>
                <w:noProof/>
                <w:sz w:val="18"/>
                <w:szCs w:val="18"/>
              </w:rPr>
            </w:pPr>
          </w:p>
        </w:tc>
        <w:tc>
          <w:tcPr>
            <w:tcW w:w="720" w:type="dxa"/>
            <w:tcBorders>
              <w:left w:val="dashSmallGap" w:sz="4" w:space="0" w:color="auto"/>
            </w:tcBorders>
          </w:tcPr>
          <w:p w:rsidR="00B90EE1" w:rsidRDefault="00B90EE1">
            <w:pPr>
              <w:ind w:right="-29"/>
              <w:jc w:val="center"/>
              <w:rPr>
                <w:noProof/>
                <w:sz w:val="18"/>
                <w:szCs w:val="18"/>
              </w:rPr>
            </w:pPr>
          </w:p>
        </w:tc>
        <w:tc>
          <w:tcPr>
            <w:tcW w:w="900" w:type="dxa"/>
            <w:tcBorders>
              <w:right w:val="dashSmallGap" w:sz="4" w:space="0" w:color="auto"/>
            </w:tcBorders>
          </w:tcPr>
          <w:p w:rsidR="00B90EE1" w:rsidRDefault="00B90EE1">
            <w:pPr>
              <w:ind w:right="-29"/>
              <w:jc w:val="center"/>
              <w:rPr>
                <w:noProof/>
                <w:sz w:val="18"/>
                <w:szCs w:val="18"/>
              </w:rPr>
            </w:pPr>
          </w:p>
        </w:tc>
        <w:tc>
          <w:tcPr>
            <w:tcW w:w="720" w:type="dxa"/>
            <w:gridSpan w:val="2"/>
            <w:tcBorders>
              <w:left w:val="dashSmallGap" w:sz="4" w:space="0" w:color="auto"/>
            </w:tcBorders>
          </w:tcPr>
          <w:p w:rsidR="00B90EE1" w:rsidRDefault="00B90EE1">
            <w:pPr>
              <w:ind w:right="-29"/>
              <w:jc w:val="center"/>
              <w:rPr>
                <w:noProof/>
                <w:sz w:val="18"/>
                <w:szCs w:val="18"/>
              </w:rPr>
            </w:pPr>
          </w:p>
        </w:tc>
        <w:tc>
          <w:tcPr>
            <w:tcW w:w="540" w:type="dxa"/>
            <w:tcBorders>
              <w:right w:val="dashSmallGap" w:sz="4" w:space="0" w:color="auto"/>
            </w:tcBorders>
          </w:tcPr>
          <w:p w:rsidR="00B90EE1" w:rsidRDefault="00B90EE1">
            <w:pPr>
              <w:ind w:right="-29"/>
              <w:jc w:val="center"/>
              <w:rPr>
                <w:noProof/>
                <w:sz w:val="18"/>
                <w:szCs w:val="18"/>
              </w:rPr>
            </w:pPr>
          </w:p>
        </w:tc>
        <w:tc>
          <w:tcPr>
            <w:tcW w:w="648" w:type="dxa"/>
            <w:tcBorders>
              <w:left w:val="dashSmallGap" w:sz="4" w:space="0" w:color="auto"/>
            </w:tcBorders>
          </w:tcPr>
          <w:p w:rsidR="00B90EE1" w:rsidRDefault="00B90EE1">
            <w:pPr>
              <w:ind w:right="-29"/>
              <w:jc w:val="center"/>
              <w:rPr>
                <w:noProof/>
                <w:sz w:val="18"/>
                <w:szCs w:val="18"/>
              </w:rPr>
            </w:pPr>
          </w:p>
        </w:tc>
        <w:tc>
          <w:tcPr>
            <w:tcW w:w="432" w:type="dxa"/>
            <w:tcBorders>
              <w:right w:val="dashSmallGap" w:sz="4" w:space="0" w:color="auto"/>
            </w:tcBorders>
          </w:tcPr>
          <w:p w:rsidR="00B90EE1" w:rsidRDefault="00B90EE1">
            <w:pPr>
              <w:ind w:right="-29"/>
              <w:jc w:val="center"/>
              <w:rPr>
                <w:noProof/>
                <w:sz w:val="18"/>
                <w:szCs w:val="18"/>
              </w:rPr>
            </w:pPr>
          </w:p>
        </w:tc>
        <w:tc>
          <w:tcPr>
            <w:tcW w:w="720" w:type="dxa"/>
            <w:tcBorders>
              <w:left w:val="dashSmallGap" w:sz="4" w:space="0" w:color="auto"/>
            </w:tcBorders>
          </w:tcPr>
          <w:p w:rsidR="00B90EE1" w:rsidRDefault="00B90EE1">
            <w:pPr>
              <w:ind w:right="-29"/>
              <w:jc w:val="center"/>
              <w:rPr>
                <w:noProof/>
                <w:sz w:val="18"/>
                <w:szCs w:val="18"/>
              </w:rPr>
            </w:pPr>
          </w:p>
        </w:tc>
        <w:tc>
          <w:tcPr>
            <w:tcW w:w="540" w:type="dxa"/>
            <w:tcBorders>
              <w:right w:val="dashSmallGap" w:sz="4" w:space="0" w:color="auto"/>
            </w:tcBorders>
          </w:tcPr>
          <w:p w:rsidR="00B90EE1" w:rsidRDefault="00B90EE1">
            <w:pPr>
              <w:ind w:right="-29"/>
              <w:jc w:val="center"/>
              <w:rPr>
                <w:noProof/>
                <w:sz w:val="18"/>
                <w:szCs w:val="18"/>
              </w:rPr>
            </w:pPr>
          </w:p>
        </w:tc>
        <w:tc>
          <w:tcPr>
            <w:tcW w:w="720" w:type="dxa"/>
            <w:tcBorders>
              <w:left w:val="dashSmallGap" w:sz="4" w:space="0" w:color="auto"/>
            </w:tcBorders>
          </w:tcPr>
          <w:p w:rsidR="00B90EE1" w:rsidRDefault="00B90EE1">
            <w:pPr>
              <w:ind w:right="-29"/>
              <w:jc w:val="center"/>
              <w:rPr>
                <w:noProof/>
                <w:sz w:val="18"/>
                <w:szCs w:val="18"/>
              </w:rPr>
            </w:pPr>
          </w:p>
        </w:tc>
        <w:tc>
          <w:tcPr>
            <w:tcW w:w="720" w:type="dxa"/>
          </w:tcPr>
          <w:p w:rsidR="00B90EE1" w:rsidRDefault="00B90EE1">
            <w:pPr>
              <w:ind w:right="-29"/>
              <w:jc w:val="center"/>
              <w:rPr>
                <w:noProof/>
                <w:sz w:val="18"/>
                <w:szCs w:val="18"/>
              </w:rPr>
            </w:pPr>
          </w:p>
        </w:tc>
        <w:tc>
          <w:tcPr>
            <w:tcW w:w="900" w:type="dxa"/>
          </w:tcPr>
          <w:p w:rsidR="00B90EE1" w:rsidRDefault="00B90EE1">
            <w:pPr>
              <w:ind w:right="-29"/>
              <w:jc w:val="center"/>
              <w:rPr>
                <w:noProof/>
                <w:sz w:val="18"/>
                <w:szCs w:val="18"/>
              </w:rPr>
            </w:pPr>
          </w:p>
        </w:tc>
      </w:tr>
      <w:tr w:rsidR="00B90EE1">
        <w:trPr>
          <w:trHeight w:hRule="exact" w:val="369"/>
          <w:jc w:val="center"/>
        </w:trPr>
        <w:tc>
          <w:tcPr>
            <w:tcW w:w="1423" w:type="dxa"/>
          </w:tcPr>
          <w:p w:rsidR="00B90EE1" w:rsidRDefault="003A231F">
            <w:pPr>
              <w:ind w:right="-29"/>
              <w:jc w:val="center"/>
              <w:rPr>
                <w:noProof/>
                <w:sz w:val="18"/>
                <w:szCs w:val="18"/>
              </w:rPr>
            </w:pPr>
            <w:r>
              <w:rPr>
                <w:noProof/>
                <w:sz w:val="18"/>
              </w:rPr>
              <w:t>‒</w:t>
            </w:r>
            <w:r>
              <w:rPr>
                <w:noProof/>
                <w:sz w:val="18"/>
              </w:rPr>
              <w:t xml:space="preserve"> Výstup</w:t>
            </w:r>
          </w:p>
        </w:tc>
        <w:tc>
          <w:tcPr>
            <w:tcW w:w="720" w:type="dxa"/>
          </w:tcPr>
          <w:p w:rsidR="00B90EE1" w:rsidRDefault="00B90EE1">
            <w:pPr>
              <w:ind w:right="-29"/>
              <w:jc w:val="center"/>
              <w:rPr>
                <w:noProof/>
                <w:sz w:val="18"/>
                <w:szCs w:val="18"/>
              </w:rPr>
            </w:pPr>
          </w:p>
        </w:tc>
        <w:tc>
          <w:tcPr>
            <w:tcW w:w="701" w:type="dxa"/>
          </w:tcPr>
          <w:p w:rsidR="00B90EE1" w:rsidRDefault="00B90EE1">
            <w:pPr>
              <w:ind w:right="-29"/>
              <w:jc w:val="center"/>
              <w:rPr>
                <w:noProof/>
                <w:sz w:val="18"/>
                <w:szCs w:val="18"/>
              </w:rPr>
            </w:pPr>
          </w:p>
        </w:tc>
        <w:tc>
          <w:tcPr>
            <w:tcW w:w="504" w:type="dxa"/>
            <w:tcBorders>
              <w:right w:val="dashSmallGap" w:sz="4" w:space="0" w:color="auto"/>
            </w:tcBorders>
          </w:tcPr>
          <w:p w:rsidR="00B90EE1" w:rsidRDefault="00B90EE1">
            <w:pPr>
              <w:ind w:right="-29"/>
              <w:jc w:val="center"/>
              <w:rPr>
                <w:noProof/>
                <w:sz w:val="18"/>
                <w:szCs w:val="18"/>
              </w:rPr>
            </w:pPr>
          </w:p>
        </w:tc>
        <w:tc>
          <w:tcPr>
            <w:tcW w:w="720" w:type="dxa"/>
            <w:tcBorders>
              <w:left w:val="dashSmallGap" w:sz="4" w:space="0" w:color="auto"/>
            </w:tcBorders>
          </w:tcPr>
          <w:p w:rsidR="00B90EE1" w:rsidRDefault="00B90EE1">
            <w:pPr>
              <w:ind w:right="-29"/>
              <w:jc w:val="center"/>
              <w:rPr>
                <w:noProof/>
                <w:sz w:val="18"/>
                <w:szCs w:val="18"/>
              </w:rPr>
            </w:pPr>
          </w:p>
        </w:tc>
        <w:tc>
          <w:tcPr>
            <w:tcW w:w="540" w:type="dxa"/>
            <w:tcBorders>
              <w:right w:val="dashSmallGap" w:sz="4" w:space="0" w:color="auto"/>
            </w:tcBorders>
          </w:tcPr>
          <w:p w:rsidR="00B90EE1" w:rsidRDefault="00B90EE1">
            <w:pPr>
              <w:ind w:right="-29"/>
              <w:jc w:val="center"/>
              <w:rPr>
                <w:noProof/>
                <w:sz w:val="18"/>
                <w:szCs w:val="18"/>
              </w:rPr>
            </w:pPr>
          </w:p>
        </w:tc>
        <w:tc>
          <w:tcPr>
            <w:tcW w:w="720" w:type="dxa"/>
            <w:tcBorders>
              <w:left w:val="dashSmallGap" w:sz="4" w:space="0" w:color="auto"/>
            </w:tcBorders>
          </w:tcPr>
          <w:p w:rsidR="00B90EE1" w:rsidRDefault="00B90EE1">
            <w:pPr>
              <w:ind w:right="-29"/>
              <w:jc w:val="center"/>
              <w:rPr>
                <w:noProof/>
                <w:sz w:val="18"/>
                <w:szCs w:val="18"/>
              </w:rPr>
            </w:pPr>
          </w:p>
        </w:tc>
        <w:tc>
          <w:tcPr>
            <w:tcW w:w="720" w:type="dxa"/>
            <w:tcBorders>
              <w:right w:val="dashSmallGap" w:sz="4" w:space="0" w:color="auto"/>
            </w:tcBorders>
          </w:tcPr>
          <w:p w:rsidR="00B90EE1" w:rsidRDefault="00B90EE1">
            <w:pPr>
              <w:ind w:right="-29"/>
              <w:jc w:val="center"/>
              <w:rPr>
                <w:noProof/>
                <w:sz w:val="18"/>
                <w:szCs w:val="18"/>
              </w:rPr>
            </w:pPr>
          </w:p>
        </w:tc>
        <w:tc>
          <w:tcPr>
            <w:tcW w:w="720" w:type="dxa"/>
            <w:tcBorders>
              <w:left w:val="dashSmallGap" w:sz="4" w:space="0" w:color="auto"/>
            </w:tcBorders>
          </w:tcPr>
          <w:p w:rsidR="00B90EE1" w:rsidRDefault="00B90EE1">
            <w:pPr>
              <w:ind w:right="-29"/>
              <w:jc w:val="center"/>
              <w:rPr>
                <w:noProof/>
                <w:sz w:val="18"/>
                <w:szCs w:val="18"/>
              </w:rPr>
            </w:pPr>
          </w:p>
        </w:tc>
        <w:tc>
          <w:tcPr>
            <w:tcW w:w="900" w:type="dxa"/>
            <w:tcBorders>
              <w:right w:val="dashSmallGap" w:sz="4" w:space="0" w:color="auto"/>
            </w:tcBorders>
          </w:tcPr>
          <w:p w:rsidR="00B90EE1" w:rsidRDefault="00B90EE1">
            <w:pPr>
              <w:ind w:right="-29"/>
              <w:jc w:val="center"/>
              <w:rPr>
                <w:noProof/>
                <w:sz w:val="18"/>
                <w:szCs w:val="18"/>
              </w:rPr>
            </w:pPr>
          </w:p>
        </w:tc>
        <w:tc>
          <w:tcPr>
            <w:tcW w:w="720" w:type="dxa"/>
            <w:gridSpan w:val="2"/>
            <w:tcBorders>
              <w:left w:val="dashSmallGap" w:sz="4" w:space="0" w:color="auto"/>
            </w:tcBorders>
          </w:tcPr>
          <w:p w:rsidR="00B90EE1" w:rsidRDefault="00B90EE1">
            <w:pPr>
              <w:ind w:right="-29"/>
              <w:jc w:val="center"/>
              <w:rPr>
                <w:noProof/>
                <w:sz w:val="18"/>
                <w:szCs w:val="18"/>
              </w:rPr>
            </w:pPr>
          </w:p>
        </w:tc>
        <w:tc>
          <w:tcPr>
            <w:tcW w:w="540" w:type="dxa"/>
            <w:tcBorders>
              <w:right w:val="dashSmallGap" w:sz="4" w:space="0" w:color="auto"/>
            </w:tcBorders>
          </w:tcPr>
          <w:p w:rsidR="00B90EE1" w:rsidRDefault="00B90EE1">
            <w:pPr>
              <w:ind w:right="-29"/>
              <w:jc w:val="center"/>
              <w:rPr>
                <w:noProof/>
                <w:sz w:val="18"/>
                <w:szCs w:val="18"/>
              </w:rPr>
            </w:pPr>
          </w:p>
        </w:tc>
        <w:tc>
          <w:tcPr>
            <w:tcW w:w="648" w:type="dxa"/>
            <w:tcBorders>
              <w:left w:val="dashSmallGap" w:sz="4" w:space="0" w:color="auto"/>
            </w:tcBorders>
          </w:tcPr>
          <w:p w:rsidR="00B90EE1" w:rsidRDefault="00B90EE1">
            <w:pPr>
              <w:ind w:right="-29"/>
              <w:jc w:val="center"/>
              <w:rPr>
                <w:noProof/>
                <w:sz w:val="18"/>
                <w:szCs w:val="18"/>
              </w:rPr>
            </w:pPr>
          </w:p>
        </w:tc>
        <w:tc>
          <w:tcPr>
            <w:tcW w:w="432" w:type="dxa"/>
            <w:tcBorders>
              <w:right w:val="dashSmallGap" w:sz="4" w:space="0" w:color="auto"/>
            </w:tcBorders>
          </w:tcPr>
          <w:p w:rsidR="00B90EE1" w:rsidRDefault="00B90EE1">
            <w:pPr>
              <w:ind w:right="-29"/>
              <w:jc w:val="center"/>
              <w:rPr>
                <w:noProof/>
                <w:sz w:val="18"/>
                <w:szCs w:val="18"/>
              </w:rPr>
            </w:pPr>
          </w:p>
        </w:tc>
        <w:tc>
          <w:tcPr>
            <w:tcW w:w="720" w:type="dxa"/>
            <w:tcBorders>
              <w:left w:val="dashSmallGap" w:sz="4" w:space="0" w:color="auto"/>
            </w:tcBorders>
          </w:tcPr>
          <w:p w:rsidR="00B90EE1" w:rsidRDefault="00B90EE1">
            <w:pPr>
              <w:ind w:right="-29"/>
              <w:jc w:val="center"/>
              <w:rPr>
                <w:noProof/>
                <w:sz w:val="18"/>
                <w:szCs w:val="18"/>
              </w:rPr>
            </w:pPr>
          </w:p>
        </w:tc>
        <w:tc>
          <w:tcPr>
            <w:tcW w:w="540" w:type="dxa"/>
            <w:tcBorders>
              <w:right w:val="dashSmallGap" w:sz="4" w:space="0" w:color="auto"/>
            </w:tcBorders>
          </w:tcPr>
          <w:p w:rsidR="00B90EE1" w:rsidRDefault="00B90EE1">
            <w:pPr>
              <w:ind w:right="-29"/>
              <w:jc w:val="center"/>
              <w:rPr>
                <w:noProof/>
                <w:sz w:val="18"/>
                <w:szCs w:val="18"/>
              </w:rPr>
            </w:pPr>
          </w:p>
        </w:tc>
        <w:tc>
          <w:tcPr>
            <w:tcW w:w="720" w:type="dxa"/>
            <w:tcBorders>
              <w:left w:val="dashSmallGap" w:sz="4" w:space="0" w:color="auto"/>
            </w:tcBorders>
          </w:tcPr>
          <w:p w:rsidR="00B90EE1" w:rsidRDefault="00B90EE1">
            <w:pPr>
              <w:ind w:right="-29"/>
              <w:jc w:val="center"/>
              <w:rPr>
                <w:noProof/>
                <w:sz w:val="18"/>
                <w:szCs w:val="18"/>
              </w:rPr>
            </w:pPr>
          </w:p>
        </w:tc>
        <w:tc>
          <w:tcPr>
            <w:tcW w:w="720" w:type="dxa"/>
          </w:tcPr>
          <w:p w:rsidR="00B90EE1" w:rsidRDefault="00B90EE1">
            <w:pPr>
              <w:ind w:right="-29"/>
              <w:jc w:val="center"/>
              <w:rPr>
                <w:noProof/>
                <w:sz w:val="18"/>
                <w:szCs w:val="18"/>
              </w:rPr>
            </w:pPr>
          </w:p>
        </w:tc>
        <w:tc>
          <w:tcPr>
            <w:tcW w:w="900" w:type="dxa"/>
          </w:tcPr>
          <w:p w:rsidR="00B90EE1" w:rsidRDefault="00B90EE1">
            <w:pPr>
              <w:ind w:right="-29"/>
              <w:jc w:val="center"/>
              <w:rPr>
                <w:noProof/>
                <w:sz w:val="18"/>
                <w:szCs w:val="18"/>
              </w:rPr>
            </w:pPr>
          </w:p>
        </w:tc>
      </w:tr>
      <w:tr w:rsidR="00B90EE1">
        <w:trPr>
          <w:trHeight w:hRule="exact" w:val="369"/>
          <w:jc w:val="center"/>
        </w:trPr>
        <w:tc>
          <w:tcPr>
            <w:tcW w:w="1423" w:type="dxa"/>
          </w:tcPr>
          <w:p w:rsidR="00B90EE1" w:rsidRDefault="003A231F">
            <w:pPr>
              <w:ind w:right="-29"/>
              <w:jc w:val="center"/>
              <w:rPr>
                <w:noProof/>
                <w:sz w:val="18"/>
                <w:szCs w:val="18"/>
              </w:rPr>
            </w:pPr>
            <w:r>
              <w:rPr>
                <w:noProof/>
                <w:sz w:val="18"/>
              </w:rPr>
              <w:t>‒</w:t>
            </w:r>
            <w:r>
              <w:rPr>
                <w:noProof/>
                <w:sz w:val="18"/>
              </w:rPr>
              <w:t xml:space="preserve"> Výstup</w:t>
            </w:r>
          </w:p>
        </w:tc>
        <w:tc>
          <w:tcPr>
            <w:tcW w:w="720" w:type="dxa"/>
          </w:tcPr>
          <w:p w:rsidR="00B90EE1" w:rsidRDefault="00B90EE1">
            <w:pPr>
              <w:ind w:right="-29"/>
              <w:jc w:val="center"/>
              <w:rPr>
                <w:noProof/>
                <w:sz w:val="18"/>
                <w:szCs w:val="18"/>
              </w:rPr>
            </w:pPr>
          </w:p>
        </w:tc>
        <w:tc>
          <w:tcPr>
            <w:tcW w:w="701" w:type="dxa"/>
          </w:tcPr>
          <w:p w:rsidR="00B90EE1" w:rsidRDefault="00B90EE1">
            <w:pPr>
              <w:ind w:right="-29"/>
              <w:jc w:val="center"/>
              <w:rPr>
                <w:noProof/>
                <w:sz w:val="18"/>
                <w:szCs w:val="18"/>
              </w:rPr>
            </w:pPr>
          </w:p>
        </w:tc>
        <w:tc>
          <w:tcPr>
            <w:tcW w:w="504" w:type="dxa"/>
          </w:tcPr>
          <w:p w:rsidR="00B90EE1" w:rsidRDefault="00B90EE1">
            <w:pPr>
              <w:ind w:right="-29"/>
              <w:jc w:val="center"/>
              <w:rPr>
                <w:noProof/>
                <w:sz w:val="18"/>
                <w:szCs w:val="18"/>
              </w:rPr>
            </w:pPr>
          </w:p>
        </w:tc>
        <w:tc>
          <w:tcPr>
            <w:tcW w:w="720" w:type="dxa"/>
          </w:tcPr>
          <w:p w:rsidR="00B90EE1" w:rsidRDefault="00B90EE1">
            <w:pPr>
              <w:ind w:right="-29"/>
              <w:jc w:val="center"/>
              <w:rPr>
                <w:noProof/>
                <w:sz w:val="18"/>
                <w:szCs w:val="18"/>
              </w:rPr>
            </w:pPr>
          </w:p>
        </w:tc>
        <w:tc>
          <w:tcPr>
            <w:tcW w:w="540" w:type="dxa"/>
          </w:tcPr>
          <w:p w:rsidR="00B90EE1" w:rsidRDefault="00B90EE1">
            <w:pPr>
              <w:ind w:right="-29"/>
              <w:jc w:val="center"/>
              <w:rPr>
                <w:noProof/>
                <w:sz w:val="18"/>
                <w:szCs w:val="18"/>
              </w:rPr>
            </w:pPr>
          </w:p>
        </w:tc>
        <w:tc>
          <w:tcPr>
            <w:tcW w:w="720" w:type="dxa"/>
          </w:tcPr>
          <w:p w:rsidR="00B90EE1" w:rsidRDefault="00B90EE1">
            <w:pPr>
              <w:ind w:right="-29"/>
              <w:jc w:val="center"/>
              <w:rPr>
                <w:noProof/>
                <w:sz w:val="18"/>
                <w:szCs w:val="18"/>
              </w:rPr>
            </w:pPr>
          </w:p>
        </w:tc>
        <w:tc>
          <w:tcPr>
            <w:tcW w:w="720" w:type="dxa"/>
          </w:tcPr>
          <w:p w:rsidR="00B90EE1" w:rsidRDefault="00B90EE1">
            <w:pPr>
              <w:ind w:right="-29"/>
              <w:jc w:val="center"/>
              <w:rPr>
                <w:noProof/>
                <w:sz w:val="18"/>
                <w:szCs w:val="18"/>
              </w:rPr>
            </w:pPr>
          </w:p>
        </w:tc>
        <w:tc>
          <w:tcPr>
            <w:tcW w:w="720" w:type="dxa"/>
          </w:tcPr>
          <w:p w:rsidR="00B90EE1" w:rsidRDefault="00B90EE1">
            <w:pPr>
              <w:ind w:right="-29"/>
              <w:jc w:val="center"/>
              <w:rPr>
                <w:noProof/>
                <w:sz w:val="18"/>
                <w:szCs w:val="18"/>
              </w:rPr>
            </w:pPr>
          </w:p>
        </w:tc>
        <w:tc>
          <w:tcPr>
            <w:tcW w:w="900" w:type="dxa"/>
          </w:tcPr>
          <w:p w:rsidR="00B90EE1" w:rsidRDefault="00B90EE1">
            <w:pPr>
              <w:ind w:right="-29"/>
              <w:jc w:val="center"/>
              <w:rPr>
                <w:noProof/>
                <w:sz w:val="18"/>
                <w:szCs w:val="18"/>
              </w:rPr>
            </w:pPr>
          </w:p>
        </w:tc>
        <w:tc>
          <w:tcPr>
            <w:tcW w:w="720" w:type="dxa"/>
            <w:gridSpan w:val="2"/>
          </w:tcPr>
          <w:p w:rsidR="00B90EE1" w:rsidRDefault="00B90EE1">
            <w:pPr>
              <w:ind w:right="-29"/>
              <w:jc w:val="center"/>
              <w:rPr>
                <w:noProof/>
                <w:sz w:val="18"/>
                <w:szCs w:val="18"/>
              </w:rPr>
            </w:pPr>
          </w:p>
        </w:tc>
        <w:tc>
          <w:tcPr>
            <w:tcW w:w="540" w:type="dxa"/>
          </w:tcPr>
          <w:p w:rsidR="00B90EE1" w:rsidRDefault="00B90EE1">
            <w:pPr>
              <w:ind w:right="-29"/>
              <w:jc w:val="center"/>
              <w:rPr>
                <w:noProof/>
                <w:sz w:val="18"/>
                <w:szCs w:val="18"/>
              </w:rPr>
            </w:pPr>
          </w:p>
        </w:tc>
        <w:tc>
          <w:tcPr>
            <w:tcW w:w="648" w:type="dxa"/>
          </w:tcPr>
          <w:p w:rsidR="00B90EE1" w:rsidRDefault="00B90EE1">
            <w:pPr>
              <w:ind w:right="-29"/>
              <w:jc w:val="center"/>
              <w:rPr>
                <w:noProof/>
                <w:sz w:val="18"/>
                <w:szCs w:val="18"/>
              </w:rPr>
            </w:pPr>
          </w:p>
        </w:tc>
        <w:tc>
          <w:tcPr>
            <w:tcW w:w="432" w:type="dxa"/>
          </w:tcPr>
          <w:p w:rsidR="00B90EE1" w:rsidRDefault="00B90EE1">
            <w:pPr>
              <w:ind w:right="-29"/>
              <w:jc w:val="center"/>
              <w:rPr>
                <w:noProof/>
                <w:sz w:val="18"/>
                <w:szCs w:val="18"/>
              </w:rPr>
            </w:pPr>
          </w:p>
        </w:tc>
        <w:tc>
          <w:tcPr>
            <w:tcW w:w="720" w:type="dxa"/>
          </w:tcPr>
          <w:p w:rsidR="00B90EE1" w:rsidRDefault="00B90EE1">
            <w:pPr>
              <w:ind w:right="-29"/>
              <w:jc w:val="center"/>
              <w:rPr>
                <w:noProof/>
                <w:sz w:val="18"/>
                <w:szCs w:val="18"/>
              </w:rPr>
            </w:pPr>
          </w:p>
        </w:tc>
        <w:tc>
          <w:tcPr>
            <w:tcW w:w="540" w:type="dxa"/>
          </w:tcPr>
          <w:p w:rsidR="00B90EE1" w:rsidRDefault="00B90EE1">
            <w:pPr>
              <w:ind w:right="-29"/>
              <w:jc w:val="center"/>
              <w:rPr>
                <w:noProof/>
                <w:sz w:val="18"/>
                <w:szCs w:val="18"/>
              </w:rPr>
            </w:pPr>
          </w:p>
        </w:tc>
        <w:tc>
          <w:tcPr>
            <w:tcW w:w="720" w:type="dxa"/>
          </w:tcPr>
          <w:p w:rsidR="00B90EE1" w:rsidRDefault="00B90EE1">
            <w:pPr>
              <w:ind w:right="-29"/>
              <w:jc w:val="center"/>
              <w:rPr>
                <w:noProof/>
                <w:sz w:val="18"/>
                <w:szCs w:val="18"/>
              </w:rPr>
            </w:pPr>
          </w:p>
        </w:tc>
        <w:tc>
          <w:tcPr>
            <w:tcW w:w="720" w:type="dxa"/>
          </w:tcPr>
          <w:p w:rsidR="00B90EE1" w:rsidRDefault="00B90EE1">
            <w:pPr>
              <w:ind w:right="-29"/>
              <w:jc w:val="center"/>
              <w:rPr>
                <w:noProof/>
                <w:sz w:val="18"/>
                <w:szCs w:val="18"/>
              </w:rPr>
            </w:pPr>
          </w:p>
        </w:tc>
        <w:tc>
          <w:tcPr>
            <w:tcW w:w="900" w:type="dxa"/>
          </w:tcPr>
          <w:p w:rsidR="00B90EE1" w:rsidRDefault="00B90EE1">
            <w:pPr>
              <w:ind w:right="-29"/>
              <w:jc w:val="center"/>
              <w:rPr>
                <w:noProof/>
                <w:sz w:val="18"/>
                <w:szCs w:val="18"/>
              </w:rPr>
            </w:pPr>
          </w:p>
        </w:tc>
      </w:tr>
      <w:tr w:rsidR="00B90EE1">
        <w:trPr>
          <w:jc w:val="center"/>
        </w:trPr>
        <w:tc>
          <w:tcPr>
            <w:tcW w:w="2844" w:type="dxa"/>
            <w:gridSpan w:val="3"/>
            <w:tcBorders>
              <w:bottom w:val="single" w:sz="12" w:space="0" w:color="auto"/>
            </w:tcBorders>
            <w:vAlign w:val="center"/>
          </w:tcPr>
          <w:p w:rsidR="00B90EE1" w:rsidRDefault="003A231F">
            <w:pPr>
              <w:ind w:right="-29"/>
              <w:jc w:val="center"/>
              <w:rPr>
                <w:noProof/>
                <w:sz w:val="18"/>
                <w:szCs w:val="18"/>
              </w:rPr>
            </w:pPr>
            <w:r>
              <w:rPr>
                <w:noProof/>
                <w:sz w:val="18"/>
              </w:rPr>
              <w:t>Osobitný cieľ č. 1 medzisúčet</w:t>
            </w:r>
          </w:p>
        </w:tc>
        <w:tc>
          <w:tcPr>
            <w:tcW w:w="504" w:type="dxa"/>
            <w:tcBorders>
              <w:bottom w:val="single" w:sz="12" w:space="0" w:color="auto"/>
            </w:tcBorders>
          </w:tcPr>
          <w:p w:rsidR="00B90EE1" w:rsidRDefault="00B90EE1">
            <w:pPr>
              <w:ind w:right="-29"/>
              <w:jc w:val="center"/>
              <w:rPr>
                <w:noProof/>
                <w:sz w:val="18"/>
                <w:szCs w:val="18"/>
              </w:rPr>
            </w:pPr>
          </w:p>
        </w:tc>
        <w:tc>
          <w:tcPr>
            <w:tcW w:w="720" w:type="dxa"/>
            <w:tcBorders>
              <w:bottom w:val="single" w:sz="12" w:space="0" w:color="auto"/>
            </w:tcBorders>
          </w:tcPr>
          <w:p w:rsidR="00B90EE1" w:rsidRDefault="00B90EE1">
            <w:pPr>
              <w:ind w:right="-29"/>
              <w:jc w:val="center"/>
              <w:rPr>
                <w:noProof/>
                <w:sz w:val="18"/>
                <w:szCs w:val="18"/>
              </w:rPr>
            </w:pPr>
          </w:p>
        </w:tc>
        <w:tc>
          <w:tcPr>
            <w:tcW w:w="540" w:type="dxa"/>
            <w:tcBorders>
              <w:bottom w:val="single" w:sz="12" w:space="0" w:color="auto"/>
            </w:tcBorders>
          </w:tcPr>
          <w:p w:rsidR="00B90EE1" w:rsidRDefault="00B90EE1">
            <w:pPr>
              <w:ind w:right="-29"/>
              <w:jc w:val="center"/>
              <w:rPr>
                <w:noProof/>
                <w:sz w:val="18"/>
                <w:szCs w:val="18"/>
              </w:rPr>
            </w:pPr>
          </w:p>
        </w:tc>
        <w:tc>
          <w:tcPr>
            <w:tcW w:w="720" w:type="dxa"/>
            <w:tcBorders>
              <w:bottom w:val="single" w:sz="12" w:space="0" w:color="auto"/>
            </w:tcBorders>
          </w:tcPr>
          <w:p w:rsidR="00B90EE1" w:rsidRDefault="00B90EE1">
            <w:pPr>
              <w:ind w:right="-29"/>
              <w:jc w:val="center"/>
              <w:rPr>
                <w:noProof/>
                <w:sz w:val="18"/>
                <w:szCs w:val="18"/>
              </w:rPr>
            </w:pPr>
          </w:p>
        </w:tc>
        <w:tc>
          <w:tcPr>
            <w:tcW w:w="720" w:type="dxa"/>
            <w:tcBorders>
              <w:bottom w:val="single" w:sz="12" w:space="0" w:color="auto"/>
            </w:tcBorders>
          </w:tcPr>
          <w:p w:rsidR="00B90EE1" w:rsidRDefault="00B90EE1">
            <w:pPr>
              <w:ind w:right="-29"/>
              <w:jc w:val="center"/>
              <w:rPr>
                <w:noProof/>
                <w:sz w:val="18"/>
                <w:szCs w:val="18"/>
              </w:rPr>
            </w:pPr>
          </w:p>
        </w:tc>
        <w:tc>
          <w:tcPr>
            <w:tcW w:w="720" w:type="dxa"/>
            <w:tcBorders>
              <w:bottom w:val="single" w:sz="12" w:space="0" w:color="auto"/>
            </w:tcBorders>
          </w:tcPr>
          <w:p w:rsidR="00B90EE1" w:rsidRDefault="00B90EE1">
            <w:pPr>
              <w:ind w:right="-29"/>
              <w:jc w:val="center"/>
              <w:rPr>
                <w:noProof/>
                <w:sz w:val="18"/>
                <w:szCs w:val="18"/>
              </w:rPr>
            </w:pPr>
          </w:p>
        </w:tc>
        <w:tc>
          <w:tcPr>
            <w:tcW w:w="900" w:type="dxa"/>
            <w:tcBorders>
              <w:bottom w:val="single" w:sz="12" w:space="0" w:color="auto"/>
            </w:tcBorders>
          </w:tcPr>
          <w:p w:rsidR="00B90EE1" w:rsidRDefault="00B90EE1">
            <w:pPr>
              <w:ind w:right="-29"/>
              <w:jc w:val="center"/>
              <w:rPr>
                <w:noProof/>
                <w:sz w:val="18"/>
                <w:szCs w:val="18"/>
              </w:rPr>
            </w:pPr>
          </w:p>
        </w:tc>
        <w:tc>
          <w:tcPr>
            <w:tcW w:w="720" w:type="dxa"/>
            <w:gridSpan w:val="2"/>
            <w:tcBorders>
              <w:bottom w:val="single" w:sz="12" w:space="0" w:color="auto"/>
            </w:tcBorders>
          </w:tcPr>
          <w:p w:rsidR="00B90EE1" w:rsidRDefault="00B90EE1">
            <w:pPr>
              <w:ind w:right="-29"/>
              <w:jc w:val="center"/>
              <w:rPr>
                <w:noProof/>
                <w:sz w:val="18"/>
                <w:szCs w:val="18"/>
              </w:rPr>
            </w:pPr>
          </w:p>
        </w:tc>
        <w:tc>
          <w:tcPr>
            <w:tcW w:w="540" w:type="dxa"/>
            <w:tcBorders>
              <w:bottom w:val="single" w:sz="12" w:space="0" w:color="auto"/>
            </w:tcBorders>
          </w:tcPr>
          <w:p w:rsidR="00B90EE1" w:rsidRDefault="00B90EE1">
            <w:pPr>
              <w:ind w:right="-29"/>
              <w:jc w:val="center"/>
              <w:rPr>
                <w:noProof/>
                <w:sz w:val="18"/>
                <w:szCs w:val="18"/>
              </w:rPr>
            </w:pPr>
          </w:p>
        </w:tc>
        <w:tc>
          <w:tcPr>
            <w:tcW w:w="648" w:type="dxa"/>
            <w:tcBorders>
              <w:bottom w:val="single" w:sz="12" w:space="0" w:color="auto"/>
            </w:tcBorders>
          </w:tcPr>
          <w:p w:rsidR="00B90EE1" w:rsidRDefault="00B90EE1">
            <w:pPr>
              <w:ind w:right="-29"/>
              <w:jc w:val="center"/>
              <w:rPr>
                <w:noProof/>
                <w:sz w:val="18"/>
                <w:szCs w:val="18"/>
              </w:rPr>
            </w:pPr>
          </w:p>
        </w:tc>
        <w:tc>
          <w:tcPr>
            <w:tcW w:w="432" w:type="dxa"/>
            <w:tcBorders>
              <w:bottom w:val="single" w:sz="12" w:space="0" w:color="auto"/>
            </w:tcBorders>
          </w:tcPr>
          <w:p w:rsidR="00B90EE1" w:rsidRDefault="00B90EE1">
            <w:pPr>
              <w:ind w:right="-29"/>
              <w:jc w:val="center"/>
              <w:rPr>
                <w:noProof/>
                <w:sz w:val="18"/>
                <w:szCs w:val="18"/>
              </w:rPr>
            </w:pPr>
          </w:p>
        </w:tc>
        <w:tc>
          <w:tcPr>
            <w:tcW w:w="720" w:type="dxa"/>
            <w:tcBorders>
              <w:bottom w:val="single" w:sz="12" w:space="0" w:color="auto"/>
            </w:tcBorders>
          </w:tcPr>
          <w:p w:rsidR="00B90EE1" w:rsidRDefault="00B90EE1">
            <w:pPr>
              <w:ind w:right="-29"/>
              <w:jc w:val="center"/>
              <w:rPr>
                <w:noProof/>
                <w:sz w:val="18"/>
                <w:szCs w:val="18"/>
              </w:rPr>
            </w:pPr>
          </w:p>
        </w:tc>
        <w:tc>
          <w:tcPr>
            <w:tcW w:w="540" w:type="dxa"/>
            <w:tcBorders>
              <w:bottom w:val="single" w:sz="12" w:space="0" w:color="auto"/>
            </w:tcBorders>
          </w:tcPr>
          <w:p w:rsidR="00B90EE1" w:rsidRDefault="00B90EE1">
            <w:pPr>
              <w:ind w:right="-29"/>
              <w:jc w:val="center"/>
              <w:rPr>
                <w:noProof/>
                <w:sz w:val="18"/>
                <w:szCs w:val="18"/>
              </w:rPr>
            </w:pPr>
          </w:p>
        </w:tc>
        <w:tc>
          <w:tcPr>
            <w:tcW w:w="720" w:type="dxa"/>
            <w:tcBorders>
              <w:bottom w:val="single" w:sz="12" w:space="0" w:color="auto"/>
            </w:tcBorders>
          </w:tcPr>
          <w:p w:rsidR="00B90EE1" w:rsidRDefault="00B90EE1">
            <w:pPr>
              <w:ind w:right="-29"/>
              <w:jc w:val="center"/>
              <w:rPr>
                <w:noProof/>
                <w:sz w:val="18"/>
                <w:szCs w:val="18"/>
              </w:rPr>
            </w:pPr>
          </w:p>
        </w:tc>
        <w:tc>
          <w:tcPr>
            <w:tcW w:w="720" w:type="dxa"/>
            <w:tcBorders>
              <w:bottom w:val="single" w:sz="12" w:space="0" w:color="auto"/>
            </w:tcBorders>
          </w:tcPr>
          <w:p w:rsidR="00B90EE1" w:rsidRDefault="00B90EE1">
            <w:pPr>
              <w:ind w:right="-29"/>
              <w:jc w:val="center"/>
              <w:rPr>
                <w:noProof/>
                <w:sz w:val="18"/>
                <w:szCs w:val="18"/>
              </w:rPr>
            </w:pPr>
          </w:p>
        </w:tc>
        <w:tc>
          <w:tcPr>
            <w:tcW w:w="900" w:type="dxa"/>
            <w:tcBorders>
              <w:bottom w:val="single" w:sz="12" w:space="0" w:color="auto"/>
            </w:tcBorders>
          </w:tcPr>
          <w:p w:rsidR="00B90EE1" w:rsidRDefault="00B90EE1">
            <w:pPr>
              <w:ind w:right="-29"/>
              <w:jc w:val="center"/>
              <w:rPr>
                <w:noProof/>
                <w:sz w:val="18"/>
                <w:szCs w:val="18"/>
              </w:rPr>
            </w:pPr>
          </w:p>
        </w:tc>
      </w:tr>
      <w:tr w:rsidR="00B90EE1">
        <w:trPr>
          <w:jc w:val="center"/>
        </w:trPr>
        <w:tc>
          <w:tcPr>
            <w:tcW w:w="2844" w:type="dxa"/>
            <w:gridSpan w:val="3"/>
            <w:vAlign w:val="center"/>
          </w:tcPr>
          <w:p w:rsidR="00B90EE1" w:rsidRDefault="003A231F">
            <w:pPr>
              <w:spacing w:before="60" w:after="60"/>
              <w:ind w:right="-29"/>
              <w:jc w:val="center"/>
              <w:rPr>
                <w:noProof/>
                <w:sz w:val="18"/>
                <w:szCs w:val="18"/>
              </w:rPr>
            </w:pPr>
            <w:r>
              <w:rPr>
                <w:noProof/>
                <w:sz w:val="18"/>
              </w:rPr>
              <w:t>OSOBITNÝ CIEĽ č. 2…</w:t>
            </w:r>
          </w:p>
        </w:tc>
        <w:tc>
          <w:tcPr>
            <w:tcW w:w="504" w:type="dxa"/>
            <w:tcBorders>
              <w:top w:val="nil"/>
              <w:left w:val="nil"/>
              <w:bottom w:val="nil"/>
              <w:right w:val="nil"/>
            </w:tcBorders>
          </w:tcPr>
          <w:p w:rsidR="00B90EE1" w:rsidRDefault="00B90EE1">
            <w:pPr>
              <w:spacing w:before="60" w:after="60"/>
              <w:ind w:right="-29"/>
              <w:jc w:val="center"/>
              <w:rPr>
                <w:noProof/>
                <w:sz w:val="18"/>
                <w:szCs w:val="18"/>
              </w:rPr>
            </w:pPr>
          </w:p>
        </w:tc>
        <w:tc>
          <w:tcPr>
            <w:tcW w:w="720" w:type="dxa"/>
            <w:tcBorders>
              <w:top w:val="nil"/>
              <w:left w:val="nil"/>
              <w:bottom w:val="nil"/>
              <w:right w:val="nil"/>
            </w:tcBorders>
          </w:tcPr>
          <w:p w:rsidR="00B90EE1" w:rsidRDefault="00B90EE1">
            <w:pPr>
              <w:spacing w:before="60" w:after="60"/>
              <w:ind w:right="-29"/>
              <w:jc w:val="center"/>
              <w:rPr>
                <w:noProof/>
                <w:sz w:val="18"/>
                <w:szCs w:val="18"/>
              </w:rPr>
            </w:pPr>
          </w:p>
        </w:tc>
        <w:tc>
          <w:tcPr>
            <w:tcW w:w="540" w:type="dxa"/>
            <w:tcBorders>
              <w:top w:val="nil"/>
              <w:left w:val="nil"/>
              <w:bottom w:val="nil"/>
              <w:right w:val="nil"/>
            </w:tcBorders>
          </w:tcPr>
          <w:p w:rsidR="00B90EE1" w:rsidRDefault="00B90EE1">
            <w:pPr>
              <w:spacing w:before="60" w:after="60"/>
              <w:ind w:right="-29"/>
              <w:jc w:val="center"/>
              <w:rPr>
                <w:noProof/>
                <w:sz w:val="18"/>
                <w:szCs w:val="18"/>
              </w:rPr>
            </w:pPr>
          </w:p>
        </w:tc>
        <w:tc>
          <w:tcPr>
            <w:tcW w:w="720" w:type="dxa"/>
            <w:tcBorders>
              <w:top w:val="nil"/>
              <w:left w:val="nil"/>
              <w:bottom w:val="nil"/>
              <w:right w:val="nil"/>
            </w:tcBorders>
          </w:tcPr>
          <w:p w:rsidR="00B90EE1" w:rsidRDefault="00B90EE1">
            <w:pPr>
              <w:spacing w:before="60" w:after="60"/>
              <w:ind w:right="-29"/>
              <w:jc w:val="center"/>
              <w:rPr>
                <w:noProof/>
                <w:sz w:val="18"/>
                <w:szCs w:val="18"/>
              </w:rPr>
            </w:pPr>
          </w:p>
        </w:tc>
        <w:tc>
          <w:tcPr>
            <w:tcW w:w="720" w:type="dxa"/>
            <w:tcBorders>
              <w:top w:val="nil"/>
              <w:left w:val="nil"/>
              <w:bottom w:val="nil"/>
              <w:right w:val="nil"/>
            </w:tcBorders>
          </w:tcPr>
          <w:p w:rsidR="00B90EE1" w:rsidRDefault="00B90EE1">
            <w:pPr>
              <w:spacing w:before="60" w:after="60"/>
              <w:ind w:right="-29"/>
              <w:jc w:val="center"/>
              <w:rPr>
                <w:noProof/>
                <w:sz w:val="18"/>
                <w:szCs w:val="18"/>
              </w:rPr>
            </w:pPr>
          </w:p>
        </w:tc>
        <w:tc>
          <w:tcPr>
            <w:tcW w:w="720" w:type="dxa"/>
            <w:tcBorders>
              <w:top w:val="nil"/>
              <w:left w:val="nil"/>
              <w:bottom w:val="nil"/>
              <w:right w:val="nil"/>
            </w:tcBorders>
          </w:tcPr>
          <w:p w:rsidR="00B90EE1" w:rsidRDefault="00B90EE1">
            <w:pPr>
              <w:spacing w:before="60" w:after="60"/>
              <w:ind w:right="-29"/>
              <w:jc w:val="center"/>
              <w:rPr>
                <w:noProof/>
                <w:sz w:val="18"/>
                <w:szCs w:val="18"/>
              </w:rPr>
            </w:pPr>
          </w:p>
        </w:tc>
        <w:tc>
          <w:tcPr>
            <w:tcW w:w="900" w:type="dxa"/>
            <w:tcBorders>
              <w:top w:val="nil"/>
              <w:left w:val="nil"/>
              <w:bottom w:val="nil"/>
              <w:right w:val="nil"/>
            </w:tcBorders>
          </w:tcPr>
          <w:p w:rsidR="00B90EE1" w:rsidRDefault="00B90EE1">
            <w:pPr>
              <w:spacing w:before="60" w:after="60"/>
              <w:ind w:right="-29"/>
              <w:jc w:val="center"/>
              <w:rPr>
                <w:noProof/>
                <w:sz w:val="18"/>
                <w:szCs w:val="18"/>
              </w:rPr>
            </w:pPr>
          </w:p>
        </w:tc>
        <w:tc>
          <w:tcPr>
            <w:tcW w:w="720" w:type="dxa"/>
            <w:gridSpan w:val="2"/>
            <w:tcBorders>
              <w:top w:val="nil"/>
              <w:left w:val="nil"/>
              <w:bottom w:val="nil"/>
              <w:right w:val="nil"/>
            </w:tcBorders>
          </w:tcPr>
          <w:p w:rsidR="00B90EE1" w:rsidRDefault="00B90EE1">
            <w:pPr>
              <w:spacing w:before="60" w:after="60"/>
              <w:ind w:right="-29"/>
              <w:jc w:val="center"/>
              <w:rPr>
                <w:noProof/>
                <w:sz w:val="18"/>
                <w:szCs w:val="18"/>
              </w:rPr>
            </w:pPr>
          </w:p>
        </w:tc>
        <w:tc>
          <w:tcPr>
            <w:tcW w:w="540" w:type="dxa"/>
            <w:tcBorders>
              <w:top w:val="nil"/>
              <w:left w:val="nil"/>
              <w:bottom w:val="nil"/>
              <w:right w:val="nil"/>
            </w:tcBorders>
          </w:tcPr>
          <w:p w:rsidR="00B90EE1" w:rsidRDefault="00B90EE1">
            <w:pPr>
              <w:spacing w:before="60" w:after="60"/>
              <w:ind w:right="-29"/>
              <w:jc w:val="center"/>
              <w:rPr>
                <w:noProof/>
                <w:sz w:val="18"/>
                <w:szCs w:val="18"/>
              </w:rPr>
            </w:pPr>
          </w:p>
        </w:tc>
        <w:tc>
          <w:tcPr>
            <w:tcW w:w="648" w:type="dxa"/>
            <w:tcBorders>
              <w:top w:val="nil"/>
              <w:left w:val="nil"/>
              <w:bottom w:val="nil"/>
              <w:right w:val="nil"/>
            </w:tcBorders>
          </w:tcPr>
          <w:p w:rsidR="00B90EE1" w:rsidRDefault="00B90EE1">
            <w:pPr>
              <w:spacing w:before="60" w:after="60"/>
              <w:ind w:right="-29"/>
              <w:jc w:val="center"/>
              <w:rPr>
                <w:noProof/>
                <w:sz w:val="18"/>
                <w:szCs w:val="18"/>
              </w:rPr>
            </w:pPr>
          </w:p>
        </w:tc>
        <w:tc>
          <w:tcPr>
            <w:tcW w:w="432" w:type="dxa"/>
            <w:tcBorders>
              <w:top w:val="nil"/>
              <w:left w:val="nil"/>
              <w:bottom w:val="nil"/>
              <w:right w:val="nil"/>
            </w:tcBorders>
          </w:tcPr>
          <w:p w:rsidR="00B90EE1" w:rsidRDefault="00B90EE1">
            <w:pPr>
              <w:spacing w:before="60" w:after="60"/>
              <w:ind w:right="-29"/>
              <w:jc w:val="center"/>
              <w:rPr>
                <w:noProof/>
                <w:sz w:val="18"/>
                <w:szCs w:val="18"/>
              </w:rPr>
            </w:pPr>
          </w:p>
        </w:tc>
        <w:tc>
          <w:tcPr>
            <w:tcW w:w="720" w:type="dxa"/>
            <w:tcBorders>
              <w:top w:val="nil"/>
              <w:left w:val="nil"/>
              <w:bottom w:val="nil"/>
              <w:right w:val="nil"/>
            </w:tcBorders>
          </w:tcPr>
          <w:p w:rsidR="00B90EE1" w:rsidRDefault="00B90EE1">
            <w:pPr>
              <w:spacing w:before="60" w:after="60"/>
              <w:ind w:right="-29"/>
              <w:jc w:val="center"/>
              <w:rPr>
                <w:noProof/>
                <w:sz w:val="18"/>
                <w:szCs w:val="18"/>
              </w:rPr>
            </w:pPr>
          </w:p>
        </w:tc>
        <w:tc>
          <w:tcPr>
            <w:tcW w:w="540" w:type="dxa"/>
            <w:tcBorders>
              <w:top w:val="nil"/>
              <w:left w:val="nil"/>
              <w:bottom w:val="nil"/>
              <w:right w:val="nil"/>
            </w:tcBorders>
          </w:tcPr>
          <w:p w:rsidR="00B90EE1" w:rsidRDefault="00B90EE1">
            <w:pPr>
              <w:spacing w:before="60" w:after="60"/>
              <w:ind w:right="-29"/>
              <w:jc w:val="center"/>
              <w:rPr>
                <w:noProof/>
                <w:sz w:val="18"/>
                <w:szCs w:val="18"/>
              </w:rPr>
            </w:pPr>
          </w:p>
        </w:tc>
        <w:tc>
          <w:tcPr>
            <w:tcW w:w="720" w:type="dxa"/>
            <w:tcBorders>
              <w:top w:val="nil"/>
              <w:left w:val="nil"/>
              <w:bottom w:val="nil"/>
              <w:right w:val="nil"/>
            </w:tcBorders>
          </w:tcPr>
          <w:p w:rsidR="00B90EE1" w:rsidRDefault="00B90EE1">
            <w:pPr>
              <w:spacing w:before="60" w:after="60"/>
              <w:ind w:right="-29"/>
              <w:jc w:val="center"/>
              <w:rPr>
                <w:noProof/>
                <w:sz w:val="18"/>
                <w:szCs w:val="18"/>
              </w:rPr>
            </w:pPr>
          </w:p>
        </w:tc>
        <w:tc>
          <w:tcPr>
            <w:tcW w:w="720" w:type="dxa"/>
            <w:tcBorders>
              <w:top w:val="nil"/>
              <w:left w:val="nil"/>
              <w:bottom w:val="nil"/>
              <w:right w:val="nil"/>
            </w:tcBorders>
          </w:tcPr>
          <w:p w:rsidR="00B90EE1" w:rsidRDefault="00B90EE1">
            <w:pPr>
              <w:spacing w:before="60" w:after="60"/>
              <w:ind w:right="-29"/>
              <w:jc w:val="center"/>
              <w:rPr>
                <w:noProof/>
                <w:sz w:val="18"/>
                <w:szCs w:val="18"/>
              </w:rPr>
            </w:pPr>
          </w:p>
        </w:tc>
        <w:tc>
          <w:tcPr>
            <w:tcW w:w="900" w:type="dxa"/>
            <w:tcBorders>
              <w:top w:val="nil"/>
              <w:left w:val="nil"/>
              <w:bottom w:val="nil"/>
              <w:right w:val="nil"/>
            </w:tcBorders>
          </w:tcPr>
          <w:p w:rsidR="00B90EE1" w:rsidRDefault="00B90EE1">
            <w:pPr>
              <w:spacing w:before="60" w:after="60"/>
              <w:ind w:right="-29"/>
              <w:jc w:val="center"/>
              <w:rPr>
                <w:noProof/>
                <w:sz w:val="18"/>
                <w:szCs w:val="18"/>
              </w:rPr>
            </w:pPr>
          </w:p>
        </w:tc>
      </w:tr>
      <w:tr w:rsidR="00B90EE1">
        <w:trPr>
          <w:trHeight w:hRule="exact" w:val="369"/>
          <w:jc w:val="center"/>
        </w:trPr>
        <w:tc>
          <w:tcPr>
            <w:tcW w:w="1423" w:type="dxa"/>
          </w:tcPr>
          <w:p w:rsidR="00B90EE1" w:rsidRDefault="003A231F">
            <w:pPr>
              <w:ind w:right="-29"/>
              <w:jc w:val="center"/>
              <w:rPr>
                <w:noProof/>
                <w:sz w:val="18"/>
                <w:szCs w:val="18"/>
              </w:rPr>
            </w:pPr>
            <w:r>
              <w:rPr>
                <w:noProof/>
                <w:sz w:val="18"/>
              </w:rPr>
              <w:t>‒</w:t>
            </w:r>
            <w:r>
              <w:rPr>
                <w:noProof/>
                <w:sz w:val="18"/>
              </w:rPr>
              <w:t xml:space="preserve"> Výstup</w:t>
            </w:r>
          </w:p>
        </w:tc>
        <w:tc>
          <w:tcPr>
            <w:tcW w:w="720" w:type="dxa"/>
          </w:tcPr>
          <w:p w:rsidR="00B90EE1" w:rsidRDefault="00B90EE1">
            <w:pPr>
              <w:ind w:right="-29"/>
              <w:jc w:val="center"/>
              <w:rPr>
                <w:noProof/>
                <w:sz w:val="18"/>
                <w:szCs w:val="18"/>
              </w:rPr>
            </w:pPr>
          </w:p>
        </w:tc>
        <w:tc>
          <w:tcPr>
            <w:tcW w:w="701" w:type="dxa"/>
          </w:tcPr>
          <w:p w:rsidR="00B90EE1" w:rsidRDefault="00B90EE1">
            <w:pPr>
              <w:ind w:right="-29"/>
              <w:jc w:val="center"/>
              <w:rPr>
                <w:noProof/>
                <w:sz w:val="18"/>
                <w:szCs w:val="18"/>
              </w:rPr>
            </w:pPr>
          </w:p>
        </w:tc>
        <w:tc>
          <w:tcPr>
            <w:tcW w:w="504" w:type="dxa"/>
          </w:tcPr>
          <w:p w:rsidR="00B90EE1" w:rsidRDefault="00B90EE1">
            <w:pPr>
              <w:ind w:right="-29"/>
              <w:jc w:val="center"/>
              <w:rPr>
                <w:noProof/>
                <w:sz w:val="18"/>
                <w:szCs w:val="18"/>
              </w:rPr>
            </w:pPr>
          </w:p>
        </w:tc>
        <w:tc>
          <w:tcPr>
            <w:tcW w:w="720" w:type="dxa"/>
          </w:tcPr>
          <w:p w:rsidR="00B90EE1" w:rsidRDefault="00B90EE1">
            <w:pPr>
              <w:ind w:right="-29"/>
              <w:jc w:val="center"/>
              <w:rPr>
                <w:noProof/>
                <w:sz w:val="18"/>
                <w:szCs w:val="18"/>
              </w:rPr>
            </w:pPr>
          </w:p>
        </w:tc>
        <w:tc>
          <w:tcPr>
            <w:tcW w:w="540" w:type="dxa"/>
          </w:tcPr>
          <w:p w:rsidR="00B90EE1" w:rsidRDefault="00B90EE1">
            <w:pPr>
              <w:ind w:right="-29"/>
              <w:jc w:val="center"/>
              <w:rPr>
                <w:noProof/>
                <w:sz w:val="18"/>
                <w:szCs w:val="18"/>
              </w:rPr>
            </w:pPr>
          </w:p>
        </w:tc>
        <w:tc>
          <w:tcPr>
            <w:tcW w:w="720" w:type="dxa"/>
          </w:tcPr>
          <w:p w:rsidR="00B90EE1" w:rsidRDefault="00B90EE1">
            <w:pPr>
              <w:ind w:right="-29"/>
              <w:jc w:val="center"/>
              <w:rPr>
                <w:noProof/>
                <w:sz w:val="18"/>
                <w:szCs w:val="18"/>
              </w:rPr>
            </w:pPr>
          </w:p>
        </w:tc>
        <w:tc>
          <w:tcPr>
            <w:tcW w:w="720" w:type="dxa"/>
          </w:tcPr>
          <w:p w:rsidR="00B90EE1" w:rsidRDefault="00B90EE1">
            <w:pPr>
              <w:ind w:right="-29"/>
              <w:jc w:val="center"/>
              <w:rPr>
                <w:noProof/>
                <w:sz w:val="18"/>
                <w:szCs w:val="18"/>
              </w:rPr>
            </w:pPr>
          </w:p>
        </w:tc>
        <w:tc>
          <w:tcPr>
            <w:tcW w:w="720" w:type="dxa"/>
          </w:tcPr>
          <w:p w:rsidR="00B90EE1" w:rsidRDefault="00B90EE1">
            <w:pPr>
              <w:ind w:right="-29"/>
              <w:jc w:val="center"/>
              <w:rPr>
                <w:noProof/>
                <w:sz w:val="18"/>
                <w:szCs w:val="18"/>
              </w:rPr>
            </w:pPr>
          </w:p>
        </w:tc>
        <w:tc>
          <w:tcPr>
            <w:tcW w:w="900" w:type="dxa"/>
          </w:tcPr>
          <w:p w:rsidR="00B90EE1" w:rsidRDefault="00B90EE1">
            <w:pPr>
              <w:ind w:right="-29"/>
              <w:jc w:val="center"/>
              <w:rPr>
                <w:noProof/>
                <w:sz w:val="18"/>
                <w:szCs w:val="18"/>
              </w:rPr>
            </w:pPr>
          </w:p>
        </w:tc>
        <w:tc>
          <w:tcPr>
            <w:tcW w:w="720" w:type="dxa"/>
            <w:gridSpan w:val="2"/>
          </w:tcPr>
          <w:p w:rsidR="00B90EE1" w:rsidRDefault="00B90EE1">
            <w:pPr>
              <w:ind w:right="-29"/>
              <w:jc w:val="center"/>
              <w:rPr>
                <w:noProof/>
                <w:sz w:val="18"/>
                <w:szCs w:val="18"/>
              </w:rPr>
            </w:pPr>
          </w:p>
        </w:tc>
        <w:tc>
          <w:tcPr>
            <w:tcW w:w="540" w:type="dxa"/>
          </w:tcPr>
          <w:p w:rsidR="00B90EE1" w:rsidRDefault="00B90EE1">
            <w:pPr>
              <w:ind w:right="-29"/>
              <w:jc w:val="center"/>
              <w:rPr>
                <w:noProof/>
                <w:sz w:val="18"/>
                <w:szCs w:val="18"/>
              </w:rPr>
            </w:pPr>
          </w:p>
        </w:tc>
        <w:tc>
          <w:tcPr>
            <w:tcW w:w="648" w:type="dxa"/>
          </w:tcPr>
          <w:p w:rsidR="00B90EE1" w:rsidRDefault="00B90EE1">
            <w:pPr>
              <w:ind w:right="-29"/>
              <w:jc w:val="center"/>
              <w:rPr>
                <w:noProof/>
                <w:sz w:val="18"/>
                <w:szCs w:val="18"/>
              </w:rPr>
            </w:pPr>
          </w:p>
        </w:tc>
        <w:tc>
          <w:tcPr>
            <w:tcW w:w="432" w:type="dxa"/>
          </w:tcPr>
          <w:p w:rsidR="00B90EE1" w:rsidRDefault="00B90EE1">
            <w:pPr>
              <w:ind w:right="-29"/>
              <w:jc w:val="center"/>
              <w:rPr>
                <w:noProof/>
                <w:sz w:val="18"/>
                <w:szCs w:val="18"/>
              </w:rPr>
            </w:pPr>
          </w:p>
        </w:tc>
        <w:tc>
          <w:tcPr>
            <w:tcW w:w="720" w:type="dxa"/>
          </w:tcPr>
          <w:p w:rsidR="00B90EE1" w:rsidRDefault="00B90EE1">
            <w:pPr>
              <w:ind w:right="-29"/>
              <w:jc w:val="center"/>
              <w:rPr>
                <w:noProof/>
                <w:sz w:val="18"/>
                <w:szCs w:val="18"/>
              </w:rPr>
            </w:pPr>
          </w:p>
        </w:tc>
        <w:tc>
          <w:tcPr>
            <w:tcW w:w="540" w:type="dxa"/>
          </w:tcPr>
          <w:p w:rsidR="00B90EE1" w:rsidRDefault="00B90EE1">
            <w:pPr>
              <w:ind w:right="-29"/>
              <w:jc w:val="center"/>
              <w:rPr>
                <w:noProof/>
                <w:sz w:val="18"/>
                <w:szCs w:val="18"/>
              </w:rPr>
            </w:pPr>
          </w:p>
        </w:tc>
        <w:tc>
          <w:tcPr>
            <w:tcW w:w="720" w:type="dxa"/>
          </w:tcPr>
          <w:p w:rsidR="00B90EE1" w:rsidRDefault="00B90EE1">
            <w:pPr>
              <w:ind w:right="-29"/>
              <w:jc w:val="center"/>
              <w:rPr>
                <w:noProof/>
                <w:sz w:val="18"/>
                <w:szCs w:val="18"/>
              </w:rPr>
            </w:pPr>
          </w:p>
        </w:tc>
        <w:tc>
          <w:tcPr>
            <w:tcW w:w="720" w:type="dxa"/>
          </w:tcPr>
          <w:p w:rsidR="00B90EE1" w:rsidRDefault="00B90EE1">
            <w:pPr>
              <w:ind w:right="-29"/>
              <w:jc w:val="center"/>
              <w:rPr>
                <w:noProof/>
                <w:sz w:val="18"/>
                <w:szCs w:val="18"/>
              </w:rPr>
            </w:pPr>
          </w:p>
        </w:tc>
        <w:tc>
          <w:tcPr>
            <w:tcW w:w="900" w:type="dxa"/>
          </w:tcPr>
          <w:p w:rsidR="00B90EE1" w:rsidRDefault="00B90EE1">
            <w:pPr>
              <w:ind w:right="-29"/>
              <w:jc w:val="center"/>
              <w:rPr>
                <w:noProof/>
                <w:sz w:val="18"/>
                <w:szCs w:val="18"/>
              </w:rPr>
            </w:pPr>
          </w:p>
        </w:tc>
      </w:tr>
      <w:tr w:rsidR="00B90EE1">
        <w:trPr>
          <w:jc w:val="center"/>
        </w:trPr>
        <w:tc>
          <w:tcPr>
            <w:tcW w:w="2844" w:type="dxa"/>
            <w:gridSpan w:val="3"/>
            <w:tcBorders>
              <w:bottom w:val="single" w:sz="12" w:space="0" w:color="auto"/>
            </w:tcBorders>
            <w:vAlign w:val="center"/>
          </w:tcPr>
          <w:p w:rsidR="00B90EE1" w:rsidRDefault="003A231F">
            <w:pPr>
              <w:jc w:val="center"/>
              <w:rPr>
                <w:noProof/>
                <w:sz w:val="18"/>
                <w:szCs w:val="18"/>
              </w:rPr>
            </w:pPr>
            <w:r>
              <w:rPr>
                <w:noProof/>
                <w:sz w:val="18"/>
              </w:rPr>
              <w:t>Osobitný cieľ č. 2 medzisúčet</w:t>
            </w:r>
          </w:p>
        </w:tc>
        <w:tc>
          <w:tcPr>
            <w:tcW w:w="504" w:type="dxa"/>
            <w:tcBorders>
              <w:bottom w:val="single" w:sz="12" w:space="0" w:color="auto"/>
            </w:tcBorders>
          </w:tcPr>
          <w:p w:rsidR="00B90EE1" w:rsidRDefault="00B90EE1">
            <w:pPr>
              <w:ind w:right="-29"/>
              <w:jc w:val="center"/>
              <w:rPr>
                <w:noProof/>
                <w:sz w:val="18"/>
                <w:szCs w:val="18"/>
              </w:rPr>
            </w:pPr>
          </w:p>
        </w:tc>
        <w:tc>
          <w:tcPr>
            <w:tcW w:w="720" w:type="dxa"/>
            <w:tcBorders>
              <w:bottom w:val="single" w:sz="12" w:space="0" w:color="auto"/>
            </w:tcBorders>
          </w:tcPr>
          <w:p w:rsidR="00B90EE1" w:rsidRDefault="00B90EE1">
            <w:pPr>
              <w:ind w:right="-29"/>
              <w:jc w:val="center"/>
              <w:rPr>
                <w:noProof/>
                <w:sz w:val="18"/>
                <w:szCs w:val="18"/>
              </w:rPr>
            </w:pPr>
          </w:p>
        </w:tc>
        <w:tc>
          <w:tcPr>
            <w:tcW w:w="540" w:type="dxa"/>
            <w:tcBorders>
              <w:bottom w:val="single" w:sz="12" w:space="0" w:color="auto"/>
            </w:tcBorders>
          </w:tcPr>
          <w:p w:rsidR="00B90EE1" w:rsidRDefault="00B90EE1">
            <w:pPr>
              <w:ind w:right="-29"/>
              <w:jc w:val="center"/>
              <w:rPr>
                <w:noProof/>
                <w:sz w:val="18"/>
                <w:szCs w:val="18"/>
              </w:rPr>
            </w:pPr>
          </w:p>
        </w:tc>
        <w:tc>
          <w:tcPr>
            <w:tcW w:w="720" w:type="dxa"/>
            <w:tcBorders>
              <w:bottom w:val="single" w:sz="12" w:space="0" w:color="auto"/>
            </w:tcBorders>
          </w:tcPr>
          <w:p w:rsidR="00B90EE1" w:rsidRDefault="00B90EE1">
            <w:pPr>
              <w:ind w:right="-29"/>
              <w:jc w:val="center"/>
              <w:rPr>
                <w:noProof/>
                <w:sz w:val="18"/>
                <w:szCs w:val="18"/>
              </w:rPr>
            </w:pPr>
          </w:p>
        </w:tc>
        <w:tc>
          <w:tcPr>
            <w:tcW w:w="720" w:type="dxa"/>
            <w:tcBorders>
              <w:bottom w:val="single" w:sz="12" w:space="0" w:color="auto"/>
            </w:tcBorders>
          </w:tcPr>
          <w:p w:rsidR="00B90EE1" w:rsidRDefault="00B90EE1">
            <w:pPr>
              <w:ind w:right="-29"/>
              <w:jc w:val="center"/>
              <w:rPr>
                <w:noProof/>
                <w:sz w:val="18"/>
                <w:szCs w:val="18"/>
              </w:rPr>
            </w:pPr>
          </w:p>
        </w:tc>
        <w:tc>
          <w:tcPr>
            <w:tcW w:w="720" w:type="dxa"/>
            <w:tcBorders>
              <w:bottom w:val="single" w:sz="12" w:space="0" w:color="auto"/>
            </w:tcBorders>
          </w:tcPr>
          <w:p w:rsidR="00B90EE1" w:rsidRDefault="00B90EE1">
            <w:pPr>
              <w:ind w:right="-29"/>
              <w:jc w:val="center"/>
              <w:rPr>
                <w:noProof/>
                <w:sz w:val="18"/>
                <w:szCs w:val="18"/>
              </w:rPr>
            </w:pPr>
          </w:p>
        </w:tc>
        <w:tc>
          <w:tcPr>
            <w:tcW w:w="951" w:type="dxa"/>
            <w:gridSpan w:val="2"/>
            <w:tcBorders>
              <w:bottom w:val="single" w:sz="12" w:space="0" w:color="auto"/>
            </w:tcBorders>
          </w:tcPr>
          <w:p w:rsidR="00B90EE1" w:rsidRDefault="00B90EE1">
            <w:pPr>
              <w:ind w:right="-29"/>
              <w:jc w:val="center"/>
              <w:rPr>
                <w:noProof/>
                <w:sz w:val="18"/>
                <w:szCs w:val="18"/>
              </w:rPr>
            </w:pPr>
          </w:p>
        </w:tc>
        <w:tc>
          <w:tcPr>
            <w:tcW w:w="669" w:type="dxa"/>
            <w:tcBorders>
              <w:bottom w:val="single" w:sz="12" w:space="0" w:color="auto"/>
            </w:tcBorders>
          </w:tcPr>
          <w:p w:rsidR="00B90EE1" w:rsidRDefault="00B90EE1">
            <w:pPr>
              <w:ind w:right="-29"/>
              <w:jc w:val="center"/>
              <w:rPr>
                <w:noProof/>
                <w:sz w:val="18"/>
                <w:szCs w:val="18"/>
              </w:rPr>
            </w:pPr>
          </w:p>
        </w:tc>
        <w:tc>
          <w:tcPr>
            <w:tcW w:w="540" w:type="dxa"/>
            <w:tcBorders>
              <w:bottom w:val="single" w:sz="12" w:space="0" w:color="auto"/>
            </w:tcBorders>
          </w:tcPr>
          <w:p w:rsidR="00B90EE1" w:rsidRDefault="00B90EE1">
            <w:pPr>
              <w:ind w:right="-29"/>
              <w:jc w:val="center"/>
              <w:rPr>
                <w:noProof/>
                <w:sz w:val="18"/>
                <w:szCs w:val="18"/>
              </w:rPr>
            </w:pPr>
          </w:p>
        </w:tc>
        <w:tc>
          <w:tcPr>
            <w:tcW w:w="648" w:type="dxa"/>
            <w:tcBorders>
              <w:bottom w:val="single" w:sz="12" w:space="0" w:color="auto"/>
            </w:tcBorders>
          </w:tcPr>
          <w:p w:rsidR="00B90EE1" w:rsidRDefault="00B90EE1">
            <w:pPr>
              <w:ind w:right="-29"/>
              <w:jc w:val="center"/>
              <w:rPr>
                <w:noProof/>
                <w:sz w:val="18"/>
                <w:szCs w:val="18"/>
              </w:rPr>
            </w:pPr>
          </w:p>
        </w:tc>
        <w:tc>
          <w:tcPr>
            <w:tcW w:w="432" w:type="dxa"/>
            <w:tcBorders>
              <w:bottom w:val="single" w:sz="12" w:space="0" w:color="auto"/>
            </w:tcBorders>
          </w:tcPr>
          <w:p w:rsidR="00B90EE1" w:rsidRDefault="00B90EE1">
            <w:pPr>
              <w:ind w:right="-29"/>
              <w:jc w:val="center"/>
              <w:rPr>
                <w:noProof/>
                <w:sz w:val="18"/>
                <w:szCs w:val="18"/>
              </w:rPr>
            </w:pPr>
          </w:p>
        </w:tc>
        <w:tc>
          <w:tcPr>
            <w:tcW w:w="720" w:type="dxa"/>
            <w:tcBorders>
              <w:bottom w:val="single" w:sz="12" w:space="0" w:color="auto"/>
            </w:tcBorders>
          </w:tcPr>
          <w:p w:rsidR="00B90EE1" w:rsidRDefault="00B90EE1">
            <w:pPr>
              <w:ind w:right="-29"/>
              <w:jc w:val="center"/>
              <w:rPr>
                <w:noProof/>
                <w:sz w:val="18"/>
                <w:szCs w:val="18"/>
              </w:rPr>
            </w:pPr>
          </w:p>
        </w:tc>
        <w:tc>
          <w:tcPr>
            <w:tcW w:w="540" w:type="dxa"/>
            <w:tcBorders>
              <w:bottom w:val="single" w:sz="12" w:space="0" w:color="auto"/>
            </w:tcBorders>
          </w:tcPr>
          <w:p w:rsidR="00B90EE1" w:rsidRDefault="00B90EE1">
            <w:pPr>
              <w:ind w:right="-29"/>
              <w:jc w:val="center"/>
              <w:rPr>
                <w:noProof/>
                <w:sz w:val="18"/>
                <w:szCs w:val="18"/>
              </w:rPr>
            </w:pPr>
          </w:p>
        </w:tc>
        <w:tc>
          <w:tcPr>
            <w:tcW w:w="720" w:type="dxa"/>
            <w:tcBorders>
              <w:bottom w:val="single" w:sz="12" w:space="0" w:color="auto"/>
            </w:tcBorders>
          </w:tcPr>
          <w:p w:rsidR="00B90EE1" w:rsidRDefault="00B90EE1">
            <w:pPr>
              <w:ind w:right="-29"/>
              <w:jc w:val="center"/>
              <w:rPr>
                <w:noProof/>
                <w:sz w:val="18"/>
                <w:szCs w:val="18"/>
              </w:rPr>
            </w:pPr>
          </w:p>
        </w:tc>
        <w:tc>
          <w:tcPr>
            <w:tcW w:w="720" w:type="dxa"/>
            <w:tcBorders>
              <w:bottom w:val="single" w:sz="12" w:space="0" w:color="auto"/>
            </w:tcBorders>
          </w:tcPr>
          <w:p w:rsidR="00B90EE1" w:rsidRDefault="00B90EE1">
            <w:pPr>
              <w:ind w:right="-29"/>
              <w:jc w:val="center"/>
              <w:rPr>
                <w:noProof/>
                <w:sz w:val="18"/>
                <w:szCs w:val="18"/>
              </w:rPr>
            </w:pPr>
          </w:p>
        </w:tc>
        <w:tc>
          <w:tcPr>
            <w:tcW w:w="900" w:type="dxa"/>
            <w:tcBorders>
              <w:bottom w:val="single" w:sz="12" w:space="0" w:color="auto"/>
            </w:tcBorders>
          </w:tcPr>
          <w:p w:rsidR="00B90EE1" w:rsidRDefault="00B90EE1">
            <w:pPr>
              <w:ind w:right="-29"/>
              <w:jc w:val="center"/>
              <w:rPr>
                <w:noProof/>
                <w:sz w:val="18"/>
                <w:szCs w:val="18"/>
              </w:rPr>
            </w:pPr>
          </w:p>
        </w:tc>
      </w:tr>
      <w:tr w:rsidR="00B90EE1">
        <w:trPr>
          <w:jc w:val="center"/>
        </w:trPr>
        <w:tc>
          <w:tcPr>
            <w:tcW w:w="2844" w:type="dxa"/>
            <w:gridSpan w:val="3"/>
            <w:tcBorders>
              <w:top w:val="single" w:sz="12" w:space="0" w:color="auto"/>
              <w:left w:val="single" w:sz="12" w:space="0" w:color="auto"/>
              <w:bottom w:val="single" w:sz="12" w:space="0" w:color="auto"/>
            </w:tcBorders>
            <w:vAlign w:val="center"/>
          </w:tcPr>
          <w:p w:rsidR="00B90EE1" w:rsidRDefault="003A231F">
            <w:pPr>
              <w:ind w:right="-29"/>
              <w:jc w:val="center"/>
              <w:rPr>
                <w:noProof/>
                <w:sz w:val="18"/>
                <w:szCs w:val="18"/>
              </w:rPr>
            </w:pPr>
            <w:r>
              <w:rPr>
                <w:b/>
                <w:noProof/>
                <w:sz w:val="18"/>
              </w:rPr>
              <w:t>NÁKLADY SPOLU</w:t>
            </w:r>
          </w:p>
        </w:tc>
        <w:tc>
          <w:tcPr>
            <w:tcW w:w="504" w:type="dxa"/>
            <w:tcBorders>
              <w:top w:val="single" w:sz="12" w:space="0" w:color="auto"/>
              <w:bottom w:val="single" w:sz="12" w:space="0" w:color="auto"/>
            </w:tcBorders>
          </w:tcPr>
          <w:p w:rsidR="00B90EE1" w:rsidRDefault="00B90EE1">
            <w:pPr>
              <w:spacing w:before="180" w:after="180"/>
              <w:ind w:right="-29"/>
              <w:jc w:val="center"/>
              <w:rPr>
                <w:noProof/>
                <w:sz w:val="18"/>
                <w:szCs w:val="18"/>
              </w:rPr>
            </w:pPr>
          </w:p>
        </w:tc>
        <w:tc>
          <w:tcPr>
            <w:tcW w:w="720" w:type="dxa"/>
            <w:tcBorders>
              <w:top w:val="single" w:sz="12" w:space="0" w:color="auto"/>
              <w:bottom w:val="single" w:sz="12" w:space="0" w:color="auto"/>
            </w:tcBorders>
          </w:tcPr>
          <w:p w:rsidR="00B90EE1" w:rsidRDefault="00B90EE1">
            <w:pPr>
              <w:spacing w:before="180" w:after="180"/>
              <w:ind w:right="-29"/>
              <w:jc w:val="center"/>
              <w:rPr>
                <w:noProof/>
                <w:sz w:val="18"/>
                <w:szCs w:val="18"/>
              </w:rPr>
            </w:pPr>
          </w:p>
        </w:tc>
        <w:tc>
          <w:tcPr>
            <w:tcW w:w="540" w:type="dxa"/>
            <w:tcBorders>
              <w:top w:val="single" w:sz="12" w:space="0" w:color="auto"/>
              <w:bottom w:val="single" w:sz="12" w:space="0" w:color="auto"/>
            </w:tcBorders>
          </w:tcPr>
          <w:p w:rsidR="00B90EE1" w:rsidRDefault="00B90EE1">
            <w:pPr>
              <w:spacing w:before="180" w:after="180"/>
              <w:ind w:right="-29"/>
              <w:jc w:val="center"/>
              <w:rPr>
                <w:noProof/>
                <w:sz w:val="18"/>
                <w:szCs w:val="18"/>
              </w:rPr>
            </w:pPr>
          </w:p>
        </w:tc>
        <w:tc>
          <w:tcPr>
            <w:tcW w:w="720" w:type="dxa"/>
            <w:tcBorders>
              <w:top w:val="single" w:sz="12" w:space="0" w:color="auto"/>
              <w:bottom w:val="single" w:sz="12" w:space="0" w:color="auto"/>
            </w:tcBorders>
          </w:tcPr>
          <w:p w:rsidR="00B90EE1" w:rsidRDefault="00B90EE1">
            <w:pPr>
              <w:spacing w:before="180" w:after="180"/>
              <w:ind w:right="-29"/>
              <w:jc w:val="center"/>
              <w:rPr>
                <w:noProof/>
                <w:sz w:val="18"/>
                <w:szCs w:val="18"/>
              </w:rPr>
            </w:pPr>
          </w:p>
        </w:tc>
        <w:tc>
          <w:tcPr>
            <w:tcW w:w="720" w:type="dxa"/>
            <w:tcBorders>
              <w:top w:val="single" w:sz="12" w:space="0" w:color="auto"/>
              <w:bottom w:val="single" w:sz="12" w:space="0" w:color="auto"/>
            </w:tcBorders>
          </w:tcPr>
          <w:p w:rsidR="00B90EE1" w:rsidRDefault="00B90EE1">
            <w:pPr>
              <w:spacing w:before="180" w:after="180"/>
              <w:ind w:right="-29"/>
              <w:jc w:val="center"/>
              <w:rPr>
                <w:noProof/>
                <w:sz w:val="18"/>
                <w:szCs w:val="18"/>
              </w:rPr>
            </w:pPr>
          </w:p>
        </w:tc>
        <w:tc>
          <w:tcPr>
            <w:tcW w:w="720" w:type="dxa"/>
            <w:tcBorders>
              <w:top w:val="single" w:sz="12" w:space="0" w:color="auto"/>
              <w:bottom w:val="single" w:sz="12" w:space="0" w:color="auto"/>
            </w:tcBorders>
          </w:tcPr>
          <w:p w:rsidR="00B90EE1" w:rsidRDefault="00B90EE1">
            <w:pPr>
              <w:spacing w:before="180" w:after="180"/>
              <w:ind w:right="-29"/>
              <w:jc w:val="center"/>
              <w:rPr>
                <w:noProof/>
                <w:sz w:val="18"/>
                <w:szCs w:val="18"/>
              </w:rPr>
            </w:pPr>
          </w:p>
        </w:tc>
        <w:tc>
          <w:tcPr>
            <w:tcW w:w="900" w:type="dxa"/>
            <w:tcBorders>
              <w:top w:val="single" w:sz="12" w:space="0" w:color="auto"/>
              <w:bottom w:val="single" w:sz="12" w:space="0" w:color="auto"/>
            </w:tcBorders>
          </w:tcPr>
          <w:p w:rsidR="00B90EE1" w:rsidRDefault="00B90EE1">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rsidR="00B90EE1" w:rsidRDefault="00B90EE1">
            <w:pPr>
              <w:spacing w:before="180" w:after="180"/>
              <w:ind w:right="-29"/>
              <w:jc w:val="center"/>
              <w:rPr>
                <w:noProof/>
                <w:sz w:val="18"/>
                <w:szCs w:val="18"/>
              </w:rPr>
            </w:pPr>
          </w:p>
        </w:tc>
        <w:tc>
          <w:tcPr>
            <w:tcW w:w="540" w:type="dxa"/>
            <w:tcBorders>
              <w:top w:val="single" w:sz="12" w:space="0" w:color="auto"/>
              <w:bottom w:val="single" w:sz="12" w:space="0" w:color="auto"/>
            </w:tcBorders>
          </w:tcPr>
          <w:p w:rsidR="00B90EE1" w:rsidRDefault="00B90EE1">
            <w:pPr>
              <w:spacing w:before="180" w:after="180"/>
              <w:ind w:right="-29"/>
              <w:jc w:val="center"/>
              <w:rPr>
                <w:noProof/>
                <w:sz w:val="18"/>
                <w:szCs w:val="18"/>
              </w:rPr>
            </w:pPr>
          </w:p>
        </w:tc>
        <w:tc>
          <w:tcPr>
            <w:tcW w:w="648" w:type="dxa"/>
            <w:tcBorders>
              <w:top w:val="single" w:sz="12" w:space="0" w:color="auto"/>
              <w:bottom w:val="single" w:sz="12" w:space="0" w:color="auto"/>
            </w:tcBorders>
          </w:tcPr>
          <w:p w:rsidR="00B90EE1" w:rsidRDefault="00B90EE1">
            <w:pPr>
              <w:spacing w:before="180" w:after="180"/>
              <w:ind w:right="-29"/>
              <w:jc w:val="center"/>
              <w:rPr>
                <w:noProof/>
                <w:sz w:val="18"/>
                <w:szCs w:val="18"/>
              </w:rPr>
            </w:pPr>
          </w:p>
        </w:tc>
        <w:tc>
          <w:tcPr>
            <w:tcW w:w="432" w:type="dxa"/>
            <w:tcBorders>
              <w:top w:val="single" w:sz="12" w:space="0" w:color="auto"/>
              <w:bottom w:val="single" w:sz="12" w:space="0" w:color="auto"/>
            </w:tcBorders>
          </w:tcPr>
          <w:p w:rsidR="00B90EE1" w:rsidRDefault="00B90EE1">
            <w:pPr>
              <w:spacing w:before="180" w:after="180"/>
              <w:ind w:right="-29"/>
              <w:jc w:val="center"/>
              <w:rPr>
                <w:noProof/>
                <w:sz w:val="18"/>
                <w:szCs w:val="18"/>
              </w:rPr>
            </w:pPr>
          </w:p>
        </w:tc>
        <w:tc>
          <w:tcPr>
            <w:tcW w:w="720" w:type="dxa"/>
            <w:tcBorders>
              <w:top w:val="single" w:sz="12" w:space="0" w:color="auto"/>
              <w:bottom w:val="single" w:sz="12" w:space="0" w:color="auto"/>
            </w:tcBorders>
          </w:tcPr>
          <w:p w:rsidR="00B90EE1" w:rsidRDefault="00B90EE1">
            <w:pPr>
              <w:spacing w:before="180" w:after="180"/>
              <w:ind w:right="-29"/>
              <w:jc w:val="center"/>
              <w:rPr>
                <w:noProof/>
                <w:sz w:val="18"/>
                <w:szCs w:val="18"/>
              </w:rPr>
            </w:pPr>
          </w:p>
        </w:tc>
        <w:tc>
          <w:tcPr>
            <w:tcW w:w="540" w:type="dxa"/>
            <w:tcBorders>
              <w:top w:val="single" w:sz="12" w:space="0" w:color="auto"/>
              <w:bottom w:val="single" w:sz="12" w:space="0" w:color="auto"/>
            </w:tcBorders>
          </w:tcPr>
          <w:p w:rsidR="00B90EE1" w:rsidRDefault="00B90EE1">
            <w:pPr>
              <w:spacing w:before="180" w:after="180"/>
              <w:ind w:right="-29"/>
              <w:jc w:val="center"/>
              <w:rPr>
                <w:noProof/>
                <w:sz w:val="18"/>
                <w:szCs w:val="18"/>
              </w:rPr>
            </w:pPr>
          </w:p>
        </w:tc>
        <w:tc>
          <w:tcPr>
            <w:tcW w:w="720" w:type="dxa"/>
            <w:tcBorders>
              <w:top w:val="single" w:sz="12" w:space="0" w:color="auto"/>
              <w:bottom w:val="single" w:sz="12" w:space="0" w:color="auto"/>
            </w:tcBorders>
          </w:tcPr>
          <w:p w:rsidR="00B90EE1" w:rsidRDefault="00B90EE1">
            <w:pPr>
              <w:spacing w:before="180" w:after="180"/>
              <w:ind w:right="-29"/>
              <w:jc w:val="center"/>
              <w:rPr>
                <w:noProof/>
                <w:sz w:val="18"/>
                <w:szCs w:val="18"/>
              </w:rPr>
            </w:pPr>
          </w:p>
        </w:tc>
        <w:tc>
          <w:tcPr>
            <w:tcW w:w="720" w:type="dxa"/>
            <w:tcBorders>
              <w:top w:val="single" w:sz="12" w:space="0" w:color="auto"/>
              <w:bottom w:val="single" w:sz="12" w:space="0" w:color="auto"/>
            </w:tcBorders>
          </w:tcPr>
          <w:p w:rsidR="00B90EE1" w:rsidRDefault="00B90EE1">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rsidR="00B90EE1" w:rsidRDefault="00B90EE1">
            <w:pPr>
              <w:spacing w:before="180" w:after="180"/>
              <w:ind w:right="-29"/>
              <w:jc w:val="center"/>
              <w:rPr>
                <w:noProof/>
                <w:sz w:val="18"/>
                <w:szCs w:val="18"/>
              </w:rPr>
            </w:pPr>
          </w:p>
        </w:tc>
      </w:tr>
    </w:tbl>
    <w:p w:rsidR="00B90EE1" w:rsidRDefault="00B90EE1">
      <w:pPr>
        <w:rPr>
          <w:noProof/>
        </w:rPr>
        <w:sectPr w:rsidR="00B90EE1">
          <w:pgSz w:w="16840" w:h="11907" w:orient="landscape" w:code="9"/>
          <w:pgMar w:top="1134" w:right="1418" w:bottom="567" w:left="1418" w:header="709" w:footer="709" w:gutter="0"/>
          <w:cols w:space="708"/>
          <w:docGrid w:linePitch="360"/>
        </w:sectPr>
      </w:pPr>
    </w:p>
    <w:p w:rsidR="00B90EE1" w:rsidRDefault="003A231F">
      <w:pPr>
        <w:pStyle w:val="ManualHeading3"/>
        <w:rPr>
          <w:bCs/>
          <w:noProof/>
          <w:szCs w:val="24"/>
        </w:rPr>
      </w:pPr>
      <w:r>
        <w:rPr>
          <w:noProof/>
        </w:rPr>
        <w:lastRenderedPageBreak/>
        <w:t>3.2.3.</w:t>
      </w:r>
      <w:r>
        <w:rPr>
          <w:noProof/>
        </w:rPr>
        <w:tab/>
      </w:r>
      <w:r>
        <w:rPr>
          <w:noProof/>
        </w:rPr>
        <w:t>Odhadovaný vplyv na administratívne rozpočtové prostriedky</w:t>
      </w:r>
    </w:p>
    <w:p w:rsidR="00B90EE1" w:rsidRDefault="003A231F">
      <w:pPr>
        <w:pStyle w:val="ManualHeading4"/>
        <w:rPr>
          <w:noProof/>
        </w:rPr>
      </w:pPr>
      <w:r>
        <w:rPr>
          <w:noProof/>
        </w:rPr>
        <w:t>3.2.3.1.</w:t>
      </w:r>
      <w:r>
        <w:rPr>
          <w:noProof/>
        </w:rPr>
        <w:tab/>
        <w:t>Zhrnutie</w:t>
      </w:r>
    </w:p>
    <w:p w:rsidR="00B90EE1" w:rsidRDefault="003A231F">
      <w:pPr>
        <w:pStyle w:val="ListDash1"/>
        <w:rPr>
          <w:noProof/>
        </w:rPr>
      </w:pPr>
      <w:r>
        <w:rPr>
          <w:noProof/>
        </w:rPr>
        <w:sym w:font="Wingdings" w:char="F0A8"/>
      </w:r>
      <w:r>
        <w:rPr>
          <w:noProof/>
        </w:rPr>
        <w:tab/>
        <w:t>Návrh/iniciatíva si nevyžaduje použitie administratívnych rozpočtových prostriedkov.</w:t>
      </w:r>
    </w:p>
    <w:p w:rsidR="00B90EE1" w:rsidRDefault="003A231F">
      <w:pPr>
        <w:pStyle w:val="ListDash1"/>
        <w:rPr>
          <w:noProof/>
        </w:rPr>
      </w:pPr>
      <w:r>
        <w:rPr>
          <w:noProof/>
        </w:rPr>
        <w:t>x</w:t>
      </w:r>
      <w:r>
        <w:rPr>
          <w:noProof/>
        </w:rPr>
        <w:tab/>
        <w:t xml:space="preserve">Návrh/iniciatíva si vyžaduje použitie administratívnych rozpočtových prostriedkov, ako je </w:t>
      </w:r>
      <w:r>
        <w:rPr>
          <w:noProof/>
        </w:rPr>
        <w:t>uvedené v nasledujúcej tabuľke:</w:t>
      </w:r>
    </w:p>
    <w:p w:rsidR="00B90EE1" w:rsidRDefault="003A231F">
      <w:pPr>
        <w:rPr>
          <w:noProof/>
          <w:sz w:val="20"/>
        </w:rPr>
      </w:pPr>
      <w:r>
        <w:rPr>
          <w:noProof/>
          <w:sz w:val="20"/>
        </w:rPr>
        <w:t>v mil. EUR (zaokrúhlené na 3 desatinné miesta)</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rsidR="00B90EE1">
        <w:trPr>
          <w:trHeight w:val="585"/>
        </w:trPr>
        <w:tc>
          <w:tcPr>
            <w:tcW w:w="1980" w:type="dxa"/>
          </w:tcPr>
          <w:p w:rsidR="00B90EE1" w:rsidRDefault="00B90EE1">
            <w:pPr>
              <w:spacing w:before="60" w:after="60" w:line="200" w:lineRule="exact"/>
              <w:rPr>
                <w:noProof/>
                <w:sz w:val="16"/>
                <w:szCs w:val="16"/>
              </w:rPr>
            </w:pPr>
          </w:p>
        </w:tc>
        <w:tc>
          <w:tcPr>
            <w:tcW w:w="1080" w:type="dxa"/>
            <w:vAlign w:val="center"/>
          </w:tcPr>
          <w:p w:rsidR="00B90EE1" w:rsidRDefault="003A231F">
            <w:pPr>
              <w:spacing w:before="60" w:after="60" w:line="200" w:lineRule="exact"/>
              <w:jc w:val="center"/>
              <w:rPr>
                <w:noProof/>
                <w:sz w:val="16"/>
                <w:szCs w:val="16"/>
              </w:rPr>
            </w:pPr>
            <w:r>
              <w:rPr>
                <w:noProof/>
                <w:sz w:val="16"/>
              </w:rPr>
              <w:t>Rok</w:t>
            </w:r>
            <w:r>
              <w:rPr>
                <w:noProof/>
                <w:sz w:val="22"/>
              </w:rPr>
              <w:br/>
            </w:r>
            <w:r>
              <w:rPr>
                <w:b/>
                <w:noProof/>
                <w:sz w:val="16"/>
              </w:rPr>
              <w:t>N</w:t>
            </w:r>
            <w:r>
              <w:rPr>
                <w:rStyle w:val="Odkaznapoznmkupodiarou"/>
                <w:b/>
                <w:noProof/>
                <w:sz w:val="16"/>
              </w:rPr>
              <w:footnoteReference w:id="36"/>
            </w:r>
          </w:p>
        </w:tc>
        <w:tc>
          <w:tcPr>
            <w:tcW w:w="1080" w:type="dxa"/>
            <w:vAlign w:val="center"/>
          </w:tcPr>
          <w:p w:rsidR="00B90EE1" w:rsidRDefault="003A231F">
            <w:pPr>
              <w:spacing w:before="60" w:after="60" w:line="200" w:lineRule="exact"/>
              <w:jc w:val="center"/>
              <w:rPr>
                <w:noProof/>
                <w:sz w:val="16"/>
                <w:szCs w:val="16"/>
              </w:rPr>
            </w:pPr>
            <w:r>
              <w:rPr>
                <w:noProof/>
                <w:sz w:val="16"/>
              </w:rPr>
              <w:t>Rok</w:t>
            </w:r>
            <w:r>
              <w:rPr>
                <w:noProof/>
                <w:sz w:val="22"/>
              </w:rPr>
              <w:br/>
            </w:r>
            <w:r>
              <w:rPr>
                <w:b/>
                <w:noProof/>
                <w:sz w:val="16"/>
              </w:rPr>
              <w:t>N + 1</w:t>
            </w:r>
          </w:p>
        </w:tc>
        <w:tc>
          <w:tcPr>
            <w:tcW w:w="1080" w:type="dxa"/>
            <w:vAlign w:val="center"/>
          </w:tcPr>
          <w:p w:rsidR="00B90EE1" w:rsidRDefault="003A231F">
            <w:pPr>
              <w:spacing w:before="60" w:after="60" w:line="200" w:lineRule="exact"/>
              <w:jc w:val="center"/>
              <w:rPr>
                <w:noProof/>
                <w:sz w:val="16"/>
                <w:szCs w:val="16"/>
              </w:rPr>
            </w:pPr>
            <w:r>
              <w:rPr>
                <w:noProof/>
                <w:sz w:val="16"/>
              </w:rPr>
              <w:t>Rok</w:t>
            </w:r>
            <w:r>
              <w:rPr>
                <w:noProof/>
                <w:sz w:val="22"/>
              </w:rPr>
              <w:br/>
            </w:r>
            <w:r>
              <w:rPr>
                <w:b/>
                <w:noProof/>
                <w:sz w:val="16"/>
              </w:rPr>
              <w:t>N + 2</w:t>
            </w:r>
          </w:p>
        </w:tc>
        <w:tc>
          <w:tcPr>
            <w:tcW w:w="1080" w:type="dxa"/>
            <w:vAlign w:val="center"/>
          </w:tcPr>
          <w:p w:rsidR="00B90EE1" w:rsidRDefault="003A231F">
            <w:pPr>
              <w:spacing w:before="60" w:after="60" w:line="200" w:lineRule="exact"/>
              <w:jc w:val="center"/>
              <w:rPr>
                <w:noProof/>
                <w:sz w:val="16"/>
                <w:szCs w:val="16"/>
              </w:rPr>
            </w:pPr>
            <w:r>
              <w:rPr>
                <w:noProof/>
                <w:sz w:val="16"/>
              </w:rPr>
              <w:t>Rok</w:t>
            </w:r>
            <w:r>
              <w:rPr>
                <w:noProof/>
                <w:sz w:val="22"/>
              </w:rPr>
              <w:br/>
            </w:r>
            <w:r>
              <w:rPr>
                <w:b/>
                <w:noProof/>
                <w:sz w:val="16"/>
              </w:rPr>
              <w:t>N + 3</w:t>
            </w:r>
          </w:p>
        </w:tc>
        <w:tc>
          <w:tcPr>
            <w:tcW w:w="3240" w:type="dxa"/>
            <w:vAlign w:val="center"/>
          </w:tcPr>
          <w:p w:rsidR="00B90EE1" w:rsidRDefault="003A231F">
            <w:pPr>
              <w:spacing w:line="200" w:lineRule="exact"/>
              <w:jc w:val="center"/>
              <w:rPr>
                <w:b/>
                <w:noProof/>
                <w:sz w:val="16"/>
                <w:szCs w:val="16"/>
              </w:rPr>
            </w:pPr>
            <w:r>
              <w:rPr>
                <w:noProof/>
                <w:sz w:val="16"/>
              </w:rPr>
              <w:t>Uveďte všetky roky, počas ktorých vplyv trvá (pozri bod 1.6)</w:t>
            </w:r>
          </w:p>
        </w:tc>
        <w:tc>
          <w:tcPr>
            <w:tcW w:w="1080" w:type="dxa"/>
            <w:vAlign w:val="center"/>
          </w:tcPr>
          <w:p w:rsidR="00B90EE1" w:rsidRDefault="003A231F">
            <w:pPr>
              <w:spacing w:before="60" w:after="60" w:line="200" w:lineRule="exact"/>
              <w:jc w:val="center"/>
              <w:rPr>
                <w:b/>
                <w:noProof/>
                <w:sz w:val="16"/>
                <w:szCs w:val="16"/>
              </w:rPr>
            </w:pPr>
            <w:r>
              <w:rPr>
                <w:b/>
                <w:noProof/>
                <w:sz w:val="16"/>
              </w:rPr>
              <w:t>SPOLU</w:t>
            </w:r>
          </w:p>
        </w:tc>
      </w:tr>
    </w:tbl>
    <w:p w:rsidR="00B90EE1" w:rsidRDefault="00B90EE1">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B90EE1">
        <w:trPr>
          <w:trHeight w:val="585"/>
        </w:trPr>
        <w:tc>
          <w:tcPr>
            <w:tcW w:w="1980" w:type="dxa"/>
            <w:shd w:val="clear" w:color="auto" w:fill="CCCCCC"/>
            <w:vAlign w:val="center"/>
          </w:tcPr>
          <w:p w:rsidR="00B90EE1" w:rsidRDefault="003A231F">
            <w:pPr>
              <w:spacing w:before="60" w:after="60" w:line="200" w:lineRule="exact"/>
              <w:jc w:val="center"/>
              <w:rPr>
                <w:b/>
                <w:noProof/>
                <w:sz w:val="16"/>
                <w:szCs w:val="16"/>
              </w:rPr>
            </w:pPr>
            <w:r>
              <w:rPr>
                <w:b/>
                <w:noProof/>
                <w:sz w:val="16"/>
              </w:rPr>
              <w:t>OKRUH 5</w:t>
            </w:r>
            <w:r>
              <w:rPr>
                <w:noProof/>
                <w:sz w:val="22"/>
              </w:rPr>
              <w:br/>
            </w:r>
            <w:r>
              <w:rPr>
                <w:b/>
                <w:noProof/>
                <w:sz w:val="16"/>
              </w:rPr>
              <w:t>viacročného finančného rámca SPOLU</w:t>
            </w:r>
          </w:p>
        </w:tc>
        <w:tc>
          <w:tcPr>
            <w:tcW w:w="1080" w:type="dxa"/>
            <w:vAlign w:val="center"/>
          </w:tcPr>
          <w:p w:rsidR="00B90EE1" w:rsidRDefault="00B90EE1">
            <w:pPr>
              <w:spacing w:before="60" w:after="60" w:line="200" w:lineRule="exact"/>
              <w:jc w:val="right"/>
              <w:rPr>
                <w:noProof/>
                <w:sz w:val="16"/>
                <w:szCs w:val="16"/>
              </w:rPr>
            </w:pPr>
          </w:p>
        </w:tc>
        <w:tc>
          <w:tcPr>
            <w:tcW w:w="1080" w:type="dxa"/>
            <w:vAlign w:val="center"/>
          </w:tcPr>
          <w:p w:rsidR="00B90EE1" w:rsidRDefault="00B90EE1">
            <w:pPr>
              <w:spacing w:before="60" w:after="60" w:line="200" w:lineRule="exact"/>
              <w:jc w:val="right"/>
              <w:rPr>
                <w:noProof/>
                <w:sz w:val="16"/>
                <w:szCs w:val="16"/>
              </w:rPr>
            </w:pPr>
          </w:p>
        </w:tc>
        <w:tc>
          <w:tcPr>
            <w:tcW w:w="1080" w:type="dxa"/>
            <w:vAlign w:val="center"/>
          </w:tcPr>
          <w:p w:rsidR="00B90EE1" w:rsidRDefault="00B90EE1">
            <w:pPr>
              <w:spacing w:before="60" w:after="60" w:line="200" w:lineRule="exact"/>
              <w:jc w:val="right"/>
              <w:rPr>
                <w:noProof/>
                <w:sz w:val="16"/>
                <w:szCs w:val="16"/>
              </w:rPr>
            </w:pPr>
          </w:p>
        </w:tc>
        <w:tc>
          <w:tcPr>
            <w:tcW w:w="1080" w:type="dxa"/>
            <w:vAlign w:val="center"/>
          </w:tcPr>
          <w:p w:rsidR="00B90EE1" w:rsidRDefault="00B90EE1">
            <w:pPr>
              <w:spacing w:before="60" w:after="60" w:line="200" w:lineRule="exact"/>
              <w:jc w:val="right"/>
              <w:rPr>
                <w:noProof/>
                <w:sz w:val="16"/>
                <w:szCs w:val="16"/>
              </w:rPr>
            </w:pPr>
          </w:p>
        </w:tc>
        <w:tc>
          <w:tcPr>
            <w:tcW w:w="1080" w:type="dxa"/>
            <w:vAlign w:val="center"/>
          </w:tcPr>
          <w:p w:rsidR="00B90EE1" w:rsidRDefault="00B90EE1">
            <w:pPr>
              <w:spacing w:before="60" w:after="60" w:line="200" w:lineRule="exact"/>
              <w:jc w:val="right"/>
              <w:rPr>
                <w:noProof/>
                <w:sz w:val="16"/>
                <w:szCs w:val="16"/>
              </w:rPr>
            </w:pPr>
          </w:p>
        </w:tc>
        <w:tc>
          <w:tcPr>
            <w:tcW w:w="1080" w:type="dxa"/>
            <w:vAlign w:val="center"/>
          </w:tcPr>
          <w:p w:rsidR="00B90EE1" w:rsidRDefault="00B90EE1">
            <w:pPr>
              <w:spacing w:before="60" w:after="60" w:line="200" w:lineRule="exact"/>
              <w:jc w:val="right"/>
              <w:rPr>
                <w:noProof/>
                <w:sz w:val="16"/>
                <w:szCs w:val="16"/>
              </w:rPr>
            </w:pPr>
          </w:p>
        </w:tc>
        <w:tc>
          <w:tcPr>
            <w:tcW w:w="1080" w:type="dxa"/>
            <w:vAlign w:val="center"/>
          </w:tcPr>
          <w:p w:rsidR="00B90EE1" w:rsidRDefault="00B90EE1">
            <w:pPr>
              <w:spacing w:before="60" w:after="60" w:line="200" w:lineRule="exact"/>
              <w:jc w:val="right"/>
              <w:rPr>
                <w:b/>
                <w:noProof/>
                <w:sz w:val="16"/>
                <w:szCs w:val="16"/>
              </w:rPr>
            </w:pPr>
          </w:p>
        </w:tc>
        <w:tc>
          <w:tcPr>
            <w:tcW w:w="1080" w:type="dxa"/>
            <w:vAlign w:val="center"/>
          </w:tcPr>
          <w:p w:rsidR="00B90EE1" w:rsidRDefault="00B90EE1">
            <w:pPr>
              <w:spacing w:before="60" w:after="60" w:line="200" w:lineRule="exact"/>
              <w:jc w:val="right"/>
              <w:rPr>
                <w:b/>
                <w:noProof/>
                <w:sz w:val="16"/>
                <w:szCs w:val="16"/>
              </w:rPr>
            </w:pPr>
          </w:p>
        </w:tc>
      </w:tr>
      <w:tr w:rsidR="00B90EE1">
        <w:trPr>
          <w:trHeight w:val="585"/>
        </w:trPr>
        <w:tc>
          <w:tcPr>
            <w:tcW w:w="1980" w:type="dxa"/>
            <w:vAlign w:val="center"/>
          </w:tcPr>
          <w:p w:rsidR="00B90EE1" w:rsidRDefault="003A231F">
            <w:pPr>
              <w:spacing w:before="60" w:after="60" w:line="200" w:lineRule="exact"/>
              <w:ind w:left="72"/>
              <w:jc w:val="left"/>
              <w:rPr>
                <w:noProof/>
                <w:sz w:val="16"/>
                <w:szCs w:val="16"/>
              </w:rPr>
            </w:pPr>
            <w:r>
              <w:rPr>
                <w:noProof/>
                <w:sz w:val="16"/>
              </w:rPr>
              <w:t xml:space="preserve">Ľudské zdroje </w:t>
            </w:r>
          </w:p>
        </w:tc>
        <w:tc>
          <w:tcPr>
            <w:tcW w:w="1080" w:type="dxa"/>
            <w:vAlign w:val="center"/>
          </w:tcPr>
          <w:p w:rsidR="00B90EE1" w:rsidRDefault="003A231F">
            <w:pPr>
              <w:spacing w:before="60" w:after="60" w:line="200" w:lineRule="exact"/>
              <w:jc w:val="right"/>
              <w:rPr>
                <w:noProof/>
                <w:sz w:val="16"/>
                <w:szCs w:val="16"/>
              </w:rPr>
            </w:pPr>
            <w:r>
              <w:rPr>
                <w:noProof/>
                <w:sz w:val="16"/>
              </w:rPr>
              <w:t>3,136</w:t>
            </w:r>
          </w:p>
        </w:tc>
        <w:tc>
          <w:tcPr>
            <w:tcW w:w="1080" w:type="dxa"/>
            <w:vAlign w:val="center"/>
          </w:tcPr>
          <w:p w:rsidR="00B90EE1" w:rsidRDefault="003A231F">
            <w:pPr>
              <w:spacing w:before="60" w:after="60" w:line="200" w:lineRule="exact"/>
              <w:jc w:val="right"/>
              <w:rPr>
                <w:noProof/>
                <w:sz w:val="16"/>
                <w:szCs w:val="16"/>
              </w:rPr>
            </w:pPr>
            <w:r>
              <w:rPr>
                <w:noProof/>
                <w:sz w:val="16"/>
              </w:rPr>
              <w:t>3,136</w:t>
            </w:r>
          </w:p>
        </w:tc>
        <w:tc>
          <w:tcPr>
            <w:tcW w:w="1080" w:type="dxa"/>
            <w:vAlign w:val="center"/>
          </w:tcPr>
          <w:p w:rsidR="00B90EE1" w:rsidRDefault="003A231F">
            <w:pPr>
              <w:spacing w:before="60" w:after="60" w:line="200" w:lineRule="exact"/>
              <w:jc w:val="right"/>
              <w:rPr>
                <w:noProof/>
                <w:sz w:val="16"/>
                <w:szCs w:val="16"/>
              </w:rPr>
            </w:pPr>
            <w:r>
              <w:rPr>
                <w:noProof/>
                <w:sz w:val="16"/>
              </w:rPr>
              <w:t>3,136</w:t>
            </w:r>
          </w:p>
        </w:tc>
        <w:tc>
          <w:tcPr>
            <w:tcW w:w="1080" w:type="dxa"/>
            <w:vAlign w:val="center"/>
          </w:tcPr>
          <w:p w:rsidR="00B90EE1" w:rsidRDefault="003A231F">
            <w:pPr>
              <w:spacing w:before="60" w:after="60" w:line="200" w:lineRule="exact"/>
              <w:jc w:val="right"/>
              <w:rPr>
                <w:noProof/>
                <w:sz w:val="16"/>
                <w:szCs w:val="16"/>
              </w:rPr>
            </w:pPr>
            <w:r>
              <w:rPr>
                <w:noProof/>
                <w:sz w:val="16"/>
              </w:rPr>
              <w:t>3,136</w:t>
            </w:r>
          </w:p>
        </w:tc>
        <w:tc>
          <w:tcPr>
            <w:tcW w:w="1080" w:type="dxa"/>
            <w:vAlign w:val="center"/>
          </w:tcPr>
          <w:p w:rsidR="00B90EE1" w:rsidRDefault="00B90EE1">
            <w:pPr>
              <w:spacing w:before="60" w:after="60" w:line="200" w:lineRule="exact"/>
              <w:jc w:val="right"/>
              <w:rPr>
                <w:noProof/>
                <w:sz w:val="16"/>
                <w:szCs w:val="16"/>
              </w:rPr>
            </w:pPr>
          </w:p>
        </w:tc>
        <w:tc>
          <w:tcPr>
            <w:tcW w:w="1080" w:type="dxa"/>
            <w:vAlign w:val="center"/>
          </w:tcPr>
          <w:p w:rsidR="00B90EE1" w:rsidRDefault="00B90EE1">
            <w:pPr>
              <w:spacing w:before="60" w:after="60" w:line="200" w:lineRule="exact"/>
              <w:jc w:val="right"/>
              <w:rPr>
                <w:noProof/>
                <w:sz w:val="16"/>
                <w:szCs w:val="16"/>
              </w:rPr>
            </w:pPr>
          </w:p>
        </w:tc>
        <w:tc>
          <w:tcPr>
            <w:tcW w:w="1080" w:type="dxa"/>
            <w:vAlign w:val="center"/>
          </w:tcPr>
          <w:p w:rsidR="00B90EE1" w:rsidRDefault="00B90EE1">
            <w:pPr>
              <w:spacing w:before="60" w:after="60" w:line="200" w:lineRule="exact"/>
              <w:jc w:val="right"/>
              <w:rPr>
                <w:b/>
                <w:noProof/>
                <w:sz w:val="16"/>
                <w:szCs w:val="16"/>
              </w:rPr>
            </w:pPr>
          </w:p>
        </w:tc>
        <w:tc>
          <w:tcPr>
            <w:tcW w:w="1080" w:type="dxa"/>
            <w:vAlign w:val="center"/>
          </w:tcPr>
          <w:p w:rsidR="00B90EE1" w:rsidRDefault="003A231F">
            <w:pPr>
              <w:spacing w:before="60" w:after="60" w:line="200" w:lineRule="exact"/>
              <w:jc w:val="right"/>
              <w:rPr>
                <w:b/>
                <w:noProof/>
                <w:sz w:val="16"/>
                <w:szCs w:val="16"/>
              </w:rPr>
            </w:pPr>
            <w:r>
              <w:rPr>
                <w:b/>
                <w:noProof/>
                <w:sz w:val="16"/>
              </w:rPr>
              <w:t>3,224</w:t>
            </w:r>
          </w:p>
        </w:tc>
      </w:tr>
      <w:tr w:rsidR="00B90EE1">
        <w:trPr>
          <w:trHeight w:val="585"/>
        </w:trPr>
        <w:tc>
          <w:tcPr>
            <w:tcW w:w="1980" w:type="dxa"/>
            <w:vAlign w:val="center"/>
          </w:tcPr>
          <w:p w:rsidR="00B90EE1" w:rsidRDefault="003A231F">
            <w:pPr>
              <w:spacing w:before="60" w:after="60" w:line="200" w:lineRule="exact"/>
              <w:ind w:left="72"/>
              <w:jc w:val="left"/>
              <w:rPr>
                <w:noProof/>
                <w:sz w:val="16"/>
                <w:szCs w:val="16"/>
              </w:rPr>
            </w:pPr>
            <w:r>
              <w:rPr>
                <w:noProof/>
                <w:sz w:val="16"/>
              </w:rPr>
              <w:t xml:space="preserve">Ostatné administratívne výdavky </w:t>
            </w:r>
          </w:p>
        </w:tc>
        <w:tc>
          <w:tcPr>
            <w:tcW w:w="1080" w:type="dxa"/>
            <w:vAlign w:val="center"/>
          </w:tcPr>
          <w:p w:rsidR="00B90EE1" w:rsidRDefault="003A231F">
            <w:pPr>
              <w:spacing w:before="60" w:after="60" w:line="200" w:lineRule="exact"/>
              <w:jc w:val="right"/>
              <w:rPr>
                <w:noProof/>
                <w:sz w:val="16"/>
                <w:szCs w:val="16"/>
              </w:rPr>
            </w:pPr>
            <w:r>
              <w:rPr>
                <w:noProof/>
                <w:sz w:val="16"/>
              </w:rPr>
              <w:t>0,088</w:t>
            </w:r>
          </w:p>
        </w:tc>
        <w:tc>
          <w:tcPr>
            <w:tcW w:w="1080" w:type="dxa"/>
            <w:vAlign w:val="center"/>
          </w:tcPr>
          <w:p w:rsidR="00B90EE1" w:rsidRDefault="003A231F">
            <w:pPr>
              <w:spacing w:before="60" w:after="60" w:line="200" w:lineRule="exact"/>
              <w:jc w:val="right"/>
              <w:rPr>
                <w:noProof/>
                <w:sz w:val="16"/>
                <w:szCs w:val="16"/>
              </w:rPr>
            </w:pPr>
            <w:r>
              <w:rPr>
                <w:noProof/>
                <w:sz w:val="16"/>
              </w:rPr>
              <w:t>0,088</w:t>
            </w:r>
          </w:p>
        </w:tc>
        <w:tc>
          <w:tcPr>
            <w:tcW w:w="1080" w:type="dxa"/>
            <w:vAlign w:val="center"/>
          </w:tcPr>
          <w:p w:rsidR="00B90EE1" w:rsidRDefault="003A231F">
            <w:pPr>
              <w:spacing w:before="60" w:after="60" w:line="200" w:lineRule="exact"/>
              <w:jc w:val="right"/>
              <w:rPr>
                <w:noProof/>
                <w:sz w:val="16"/>
                <w:szCs w:val="16"/>
              </w:rPr>
            </w:pPr>
            <w:r>
              <w:rPr>
                <w:noProof/>
                <w:sz w:val="16"/>
              </w:rPr>
              <w:t>0,088</w:t>
            </w:r>
          </w:p>
        </w:tc>
        <w:tc>
          <w:tcPr>
            <w:tcW w:w="1080" w:type="dxa"/>
            <w:vAlign w:val="center"/>
          </w:tcPr>
          <w:p w:rsidR="00B90EE1" w:rsidRDefault="003A231F">
            <w:pPr>
              <w:spacing w:before="60" w:after="60" w:line="200" w:lineRule="exact"/>
              <w:jc w:val="right"/>
              <w:rPr>
                <w:noProof/>
                <w:sz w:val="16"/>
                <w:szCs w:val="16"/>
              </w:rPr>
            </w:pPr>
            <w:r>
              <w:rPr>
                <w:noProof/>
                <w:sz w:val="16"/>
              </w:rPr>
              <w:t>0,088</w:t>
            </w:r>
          </w:p>
        </w:tc>
        <w:tc>
          <w:tcPr>
            <w:tcW w:w="1080" w:type="dxa"/>
            <w:vAlign w:val="center"/>
          </w:tcPr>
          <w:p w:rsidR="00B90EE1" w:rsidRDefault="00B90EE1">
            <w:pPr>
              <w:spacing w:before="60" w:after="60" w:line="200" w:lineRule="exact"/>
              <w:jc w:val="right"/>
              <w:rPr>
                <w:noProof/>
                <w:sz w:val="16"/>
                <w:szCs w:val="16"/>
              </w:rPr>
            </w:pPr>
          </w:p>
        </w:tc>
        <w:tc>
          <w:tcPr>
            <w:tcW w:w="1080" w:type="dxa"/>
            <w:vAlign w:val="center"/>
          </w:tcPr>
          <w:p w:rsidR="00B90EE1" w:rsidRDefault="00B90EE1">
            <w:pPr>
              <w:spacing w:before="60" w:after="60" w:line="200" w:lineRule="exact"/>
              <w:jc w:val="right"/>
              <w:rPr>
                <w:noProof/>
                <w:sz w:val="16"/>
                <w:szCs w:val="16"/>
              </w:rPr>
            </w:pPr>
          </w:p>
        </w:tc>
        <w:tc>
          <w:tcPr>
            <w:tcW w:w="1080" w:type="dxa"/>
            <w:vAlign w:val="center"/>
          </w:tcPr>
          <w:p w:rsidR="00B90EE1" w:rsidRDefault="00B90EE1">
            <w:pPr>
              <w:spacing w:before="60" w:after="60" w:line="200" w:lineRule="exact"/>
              <w:jc w:val="right"/>
              <w:rPr>
                <w:b/>
                <w:noProof/>
                <w:sz w:val="16"/>
                <w:szCs w:val="16"/>
              </w:rPr>
            </w:pPr>
          </w:p>
        </w:tc>
        <w:tc>
          <w:tcPr>
            <w:tcW w:w="1080" w:type="dxa"/>
            <w:vAlign w:val="center"/>
          </w:tcPr>
          <w:p w:rsidR="00B90EE1" w:rsidRDefault="003A231F">
            <w:pPr>
              <w:spacing w:before="60" w:after="60" w:line="200" w:lineRule="exact"/>
              <w:jc w:val="right"/>
              <w:rPr>
                <w:b/>
                <w:noProof/>
                <w:sz w:val="16"/>
                <w:szCs w:val="16"/>
              </w:rPr>
            </w:pPr>
            <w:r>
              <w:rPr>
                <w:b/>
                <w:noProof/>
                <w:sz w:val="16"/>
              </w:rPr>
              <w:t>0,088</w:t>
            </w:r>
          </w:p>
        </w:tc>
      </w:tr>
      <w:tr w:rsidR="00B90EE1">
        <w:trPr>
          <w:trHeight w:val="585"/>
        </w:trPr>
        <w:tc>
          <w:tcPr>
            <w:tcW w:w="1980" w:type="dxa"/>
            <w:shd w:val="clear" w:color="auto" w:fill="CCCCCC"/>
            <w:vAlign w:val="center"/>
          </w:tcPr>
          <w:p w:rsidR="00B90EE1" w:rsidRDefault="003A231F">
            <w:pPr>
              <w:spacing w:before="60" w:after="60" w:line="200" w:lineRule="exact"/>
              <w:jc w:val="center"/>
              <w:rPr>
                <w:b/>
                <w:noProof/>
                <w:sz w:val="16"/>
                <w:szCs w:val="16"/>
              </w:rPr>
            </w:pPr>
            <w:r>
              <w:rPr>
                <w:b/>
                <w:noProof/>
                <w:sz w:val="16"/>
              </w:rPr>
              <w:t>Medzisúčet – OKRUH 5</w:t>
            </w:r>
            <w:r>
              <w:rPr>
                <w:noProof/>
                <w:sz w:val="22"/>
              </w:rPr>
              <w:br/>
            </w:r>
            <w:r>
              <w:rPr>
                <w:b/>
                <w:noProof/>
                <w:sz w:val="16"/>
              </w:rPr>
              <w:t xml:space="preserve">viacročného finančného rámca SPOLU </w:t>
            </w:r>
          </w:p>
        </w:tc>
        <w:tc>
          <w:tcPr>
            <w:tcW w:w="1080" w:type="dxa"/>
            <w:vAlign w:val="center"/>
          </w:tcPr>
          <w:p w:rsidR="00B90EE1" w:rsidRDefault="003A231F">
            <w:pPr>
              <w:spacing w:before="60" w:after="60" w:line="200" w:lineRule="exact"/>
              <w:jc w:val="right"/>
              <w:rPr>
                <w:noProof/>
                <w:sz w:val="16"/>
                <w:szCs w:val="16"/>
              </w:rPr>
            </w:pPr>
            <w:r>
              <w:rPr>
                <w:noProof/>
                <w:sz w:val="16"/>
              </w:rPr>
              <w:t>3,224</w:t>
            </w:r>
          </w:p>
        </w:tc>
        <w:tc>
          <w:tcPr>
            <w:tcW w:w="1080" w:type="dxa"/>
            <w:vAlign w:val="center"/>
          </w:tcPr>
          <w:p w:rsidR="00B90EE1" w:rsidRDefault="003A231F">
            <w:pPr>
              <w:spacing w:before="60" w:after="60" w:line="200" w:lineRule="exact"/>
              <w:jc w:val="right"/>
              <w:rPr>
                <w:noProof/>
                <w:sz w:val="16"/>
                <w:szCs w:val="16"/>
              </w:rPr>
            </w:pPr>
            <w:r>
              <w:rPr>
                <w:noProof/>
                <w:sz w:val="16"/>
              </w:rPr>
              <w:t>3,224</w:t>
            </w:r>
          </w:p>
        </w:tc>
        <w:tc>
          <w:tcPr>
            <w:tcW w:w="1080" w:type="dxa"/>
            <w:vAlign w:val="center"/>
          </w:tcPr>
          <w:p w:rsidR="00B90EE1" w:rsidRDefault="003A231F">
            <w:pPr>
              <w:spacing w:before="60" w:after="60" w:line="200" w:lineRule="exact"/>
              <w:jc w:val="right"/>
              <w:rPr>
                <w:noProof/>
                <w:sz w:val="16"/>
                <w:szCs w:val="16"/>
              </w:rPr>
            </w:pPr>
            <w:r>
              <w:rPr>
                <w:noProof/>
                <w:sz w:val="16"/>
              </w:rPr>
              <w:t>3,224</w:t>
            </w:r>
          </w:p>
        </w:tc>
        <w:tc>
          <w:tcPr>
            <w:tcW w:w="1080" w:type="dxa"/>
            <w:vAlign w:val="center"/>
          </w:tcPr>
          <w:p w:rsidR="00B90EE1" w:rsidRDefault="003A231F">
            <w:pPr>
              <w:spacing w:before="60" w:after="60" w:line="200" w:lineRule="exact"/>
              <w:jc w:val="right"/>
              <w:rPr>
                <w:noProof/>
                <w:sz w:val="16"/>
                <w:szCs w:val="16"/>
              </w:rPr>
            </w:pPr>
            <w:r>
              <w:rPr>
                <w:noProof/>
                <w:sz w:val="16"/>
              </w:rPr>
              <w:t>3,224</w:t>
            </w:r>
          </w:p>
        </w:tc>
        <w:tc>
          <w:tcPr>
            <w:tcW w:w="1080" w:type="dxa"/>
            <w:vAlign w:val="center"/>
          </w:tcPr>
          <w:p w:rsidR="00B90EE1" w:rsidRDefault="00B90EE1">
            <w:pPr>
              <w:spacing w:before="60" w:after="60" w:line="200" w:lineRule="exact"/>
              <w:jc w:val="right"/>
              <w:rPr>
                <w:noProof/>
                <w:sz w:val="16"/>
                <w:szCs w:val="16"/>
              </w:rPr>
            </w:pPr>
          </w:p>
        </w:tc>
        <w:tc>
          <w:tcPr>
            <w:tcW w:w="1080" w:type="dxa"/>
            <w:vAlign w:val="center"/>
          </w:tcPr>
          <w:p w:rsidR="00B90EE1" w:rsidRDefault="00B90EE1">
            <w:pPr>
              <w:spacing w:before="60" w:after="60" w:line="200" w:lineRule="exact"/>
              <w:jc w:val="right"/>
              <w:rPr>
                <w:noProof/>
                <w:sz w:val="16"/>
                <w:szCs w:val="16"/>
              </w:rPr>
            </w:pPr>
          </w:p>
        </w:tc>
        <w:tc>
          <w:tcPr>
            <w:tcW w:w="1080" w:type="dxa"/>
            <w:vAlign w:val="center"/>
          </w:tcPr>
          <w:p w:rsidR="00B90EE1" w:rsidRDefault="00B90EE1">
            <w:pPr>
              <w:spacing w:before="60" w:after="60" w:line="200" w:lineRule="exact"/>
              <w:jc w:val="right"/>
              <w:rPr>
                <w:b/>
                <w:noProof/>
                <w:sz w:val="16"/>
                <w:szCs w:val="16"/>
              </w:rPr>
            </w:pPr>
          </w:p>
        </w:tc>
        <w:tc>
          <w:tcPr>
            <w:tcW w:w="1080" w:type="dxa"/>
            <w:vAlign w:val="center"/>
          </w:tcPr>
          <w:p w:rsidR="00B90EE1" w:rsidRDefault="003A231F">
            <w:pPr>
              <w:spacing w:before="60" w:after="60" w:line="200" w:lineRule="exact"/>
              <w:jc w:val="right"/>
              <w:rPr>
                <w:b/>
                <w:noProof/>
                <w:sz w:val="16"/>
                <w:szCs w:val="16"/>
              </w:rPr>
            </w:pPr>
            <w:r>
              <w:rPr>
                <w:b/>
                <w:noProof/>
                <w:sz w:val="16"/>
              </w:rPr>
              <w:t>3,362</w:t>
            </w:r>
          </w:p>
        </w:tc>
      </w:tr>
    </w:tbl>
    <w:p w:rsidR="00B90EE1" w:rsidRDefault="00B90EE1">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B90EE1">
        <w:trPr>
          <w:trHeight w:val="585"/>
        </w:trPr>
        <w:tc>
          <w:tcPr>
            <w:tcW w:w="1980" w:type="dxa"/>
            <w:shd w:val="clear" w:color="auto" w:fill="CCCCCC"/>
            <w:vAlign w:val="center"/>
          </w:tcPr>
          <w:p w:rsidR="00B90EE1" w:rsidRDefault="003A231F">
            <w:pPr>
              <w:spacing w:before="60" w:after="60" w:line="200" w:lineRule="exact"/>
              <w:jc w:val="center"/>
              <w:rPr>
                <w:b/>
                <w:noProof/>
                <w:sz w:val="16"/>
              </w:rPr>
            </w:pPr>
            <w:r>
              <w:rPr>
                <w:b/>
                <w:noProof/>
                <w:sz w:val="16"/>
              </w:rPr>
              <w:t>Mimo OKRUHU 5</w:t>
            </w:r>
            <w:r>
              <w:rPr>
                <w:rStyle w:val="Odkaznapoznmkupodiarou"/>
                <w:b/>
                <w:noProof/>
                <w:sz w:val="16"/>
              </w:rPr>
              <w:footnoteReference w:id="37"/>
            </w:r>
            <w:r>
              <w:rPr>
                <w:noProof/>
                <w:sz w:val="22"/>
              </w:rPr>
              <w:br/>
            </w:r>
            <w:r>
              <w:rPr>
                <w:b/>
                <w:noProof/>
                <w:sz w:val="16"/>
              </w:rPr>
              <w:t>viacročného finančného rámca SPOLU</w:t>
            </w:r>
          </w:p>
          <w:p w:rsidR="00B90EE1" w:rsidRDefault="00B90EE1">
            <w:pPr>
              <w:spacing w:before="0" w:after="0" w:line="200" w:lineRule="exact"/>
              <w:jc w:val="center"/>
              <w:rPr>
                <w:b/>
                <w:noProof/>
                <w:sz w:val="16"/>
                <w:szCs w:val="16"/>
              </w:rPr>
            </w:pPr>
          </w:p>
        </w:tc>
        <w:tc>
          <w:tcPr>
            <w:tcW w:w="1080" w:type="dxa"/>
            <w:vAlign w:val="center"/>
          </w:tcPr>
          <w:p w:rsidR="00B90EE1" w:rsidRDefault="00B90EE1">
            <w:pPr>
              <w:spacing w:before="60" w:after="60" w:line="200" w:lineRule="exact"/>
              <w:jc w:val="right"/>
              <w:rPr>
                <w:noProof/>
                <w:sz w:val="16"/>
                <w:szCs w:val="16"/>
              </w:rPr>
            </w:pPr>
          </w:p>
        </w:tc>
        <w:tc>
          <w:tcPr>
            <w:tcW w:w="1080" w:type="dxa"/>
            <w:vAlign w:val="center"/>
          </w:tcPr>
          <w:p w:rsidR="00B90EE1" w:rsidRDefault="00B90EE1">
            <w:pPr>
              <w:spacing w:before="60" w:after="60" w:line="200" w:lineRule="exact"/>
              <w:jc w:val="right"/>
              <w:rPr>
                <w:noProof/>
                <w:sz w:val="16"/>
                <w:szCs w:val="16"/>
              </w:rPr>
            </w:pPr>
          </w:p>
        </w:tc>
        <w:tc>
          <w:tcPr>
            <w:tcW w:w="1080" w:type="dxa"/>
            <w:vAlign w:val="center"/>
          </w:tcPr>
          <w:p w:rsidR="00B90EE1" w:rsidRDefault="00B90EE1">
            <w:pPr>
              <w:spacing w:before="60" w:after="60" w:line="200" w:lineRule="exact"/>
              <w:jc w:val="right"/>
              <w:rPr>
                <w:noProof/>
                <w:sz w:val="16"/>
                <w:szCs w:val="16"/>
              </w:rPr>
            </w:pPr>
          </w:p>
        </w:tc>
        <w:tc>
          <w:tcPr>
            <w:tcW w:w="1080" w:type="dxa"/>
            <w:vAlign w:val="center"/>
          </w:tcPr>
          <w:p w:rsidR="00B90EE1" w:rsidRDefault="00B90EE1">
            <w:pPr>
              <w:spacing w:before="60" w:after="60" w:line="200" w:lineRule="exact"/>
              <w:jc w:val="right"/>
              <w:rPr>
                <w:noProof/>
                <w:sz w:val="16"/>
                <w:szCs w:val="16"/>
              </w:rPr>
            </w:pPr>
          </w:p>
        </w:tc>
        <w:tc>
          <w:tcPr>
            <w:tcW w:w="1080" w:type="dxa"/>
            <w:vAlign w:val="center"/>
          </w:tcPr>
          <w:p w:rsidR="00B90EE1" w:rsidRDefault="00B90EE1">
            <w:pPr>
              <w:spacing w:before="60" w:after="60" w:line="200" w:lineRule="exact"/>
              <w:jc w:val="right"/>
              <w:rPr>
                <w:noProof/>
                <w:sz w:val="16"/>
                <w:szCs w:val="16"/>
              </w:rPr>
            </w:pPr>
          </w:p>
        </w:tc>
        <w:tc>
          <w:tcPr>
            <w:tcW w:w="1080" w:type="dxa"/>
            <w:vAlign w:val="center"/>
          </w:tcPr>
          <w:p w:rsidR="00B90EE1" w:rsidRDefault="00B90EE1">
            <w:pPr>
              <w:spacing w:before="60" w:after="60" w:line="200" w:lineRule="exact"/>
              <w:jc w:val="right"/>
              <w:rPr>
                <w:noProof/>
                <w:sz w:val="16"/>
                <w:szCs w:val="16"/>
              </w:rPr>
            </w:pPr>
          </w:p>
        </w:tc>
        <w:tc>
          <w:tcPr>
            <w:tcW w:w="1080" w:type="dxa"/>
            <w:vAlign w:val="center"/>
          </w:tcPr>
          <w:p w:rsidR="00B90EE1" w:rsidRDefault="00B90EE1">
            <w:pPr>
              <w:spacing w:before="60" w:after="60" w:line="200" w:lineRule="exact"/>
              <w:jc w:val="right"/>
              <w:rPr>
                <w:b/>
                <w:noProof/>
                <w:sz w:val="16"/>
                <w:szCs w:val="16"/>
              </w:rPr>
            </w:pPr>
          </w:p>
        </w:tc>
        <w:tc>
          <w:tcPr>
            <w:tcW w:w="1080" w:type="dxa"/>
            <w:vAlign w:val="center"/>
          </w:tcPr>
          <w:p w:rsidR="00B90EE1" w:rsidRDefault="00B90EE1">
            <w:pPr>
              <w:spacing w:before="60" w:after="60" w:line="200" w:lineRule="exact"/>
              <w:jc w:val="right"/>
              <w:rPr>
                <w:b/>
                <w:noProof/>
                <w:sz w:val="16"/>
                <w:szCs w:val="16"/>
              </w:rPr>
            </w:pPr>
          </w:p>
        </w:tc>
      </w:tr>
      <w:tr w:rsidR="00B90EE1">
        <w:trPr>
          <w:trHeight w:val="585"/>
        </w:trPr>
        <w:tc>
          <w:tcPr>
            <w:tcW w:w="1980" w:type="dxa"/>
            <w:vAlign w:val="center"/>
          </w:tcPr>
          <w:p w:rsidR="00B90EE1" w:rsidRDefault="003A231F">
            <w:pPr>
              <w:spacing w:before="60" w:after="60" w:line="200" w:lineRule="exact"/>
              <w:ind w:left="72"/>
              <w:jc w:val="left"/>
              <w:rPr>
                <w:noProof/>
                <w:sz w:val="16"/>
                <w:szCs w:val="16"/>
              </w:rPr>
            </w:pPr>
            <w:r>
              <w:rPr>
                <w:noProof/>
                <w:sz w:val="16"/>
              </w:rPr>
              <w:t xml:space="preserve">Ľudské zdroje </w:t>
            </w:r>
          </w:p>
        </w:tc>
        <w:tc>
          <w:tcPr>
            <w:tcW w:w="1080" w:type="dxa"/>
            <w:vAlign w:val="center"/>
          </w:tcPr>
          <w:p w:rsidR="00B90EE1" w:rsidRDefault="00B90EE1">
            <w:pPr>
              <w:spacing w:before="60" w:after="60" w:line="200" w:lineRule="exact"/>
              <w:jc w:val="right"/>
              <w:rPr>
                <w:noProof/>
                <w:sz w:val="16"/>
                <w:szCs w:val="16"/>
              </w:rPr>
            </w:pPr>
          </w:p>
        </w:tc>
        <w:tc>
          <w:tcPr>
            <w:tcW w:w="1080" w:type="dxa"/>
            <w:vAlign w:val="center"/>
          </w:tcPr>
          <w:p w:rsidR="00B90EE1" w:rsidRDefault="00B90EE1">
            <w:pPr>
              <w:spacing w:before="60" w:after="60" w:line="200" w:lineRule="exact"/>
              <w:jc w:val="right"/>
              <w:rPr>
                <w:noProof/>
                <w:sz w:val="16"/>
                <w:szCs w:val="16"/>
              </w:rPr>
            </w:pPr>
          </w:p>
        </w:tc>
        <w:tc>
          <w:tcPr>
            <w:tcW w:w="1080" w:type="dxa"/>
            <w:vAlign w:val="center"/>
          </w:tcPr>
          <w:p w:rsidR="00B90EE1" w:rsidRDefault="00B90EE1">
            <w:pPr>
              <w:spacing w:before="60" w:after="60" w:line="200" w:lineRule="exact"/>
              <w:jc w:val="right"/>
              <w:rPr>
                <w:noProof/>
                <w:sz w:val="16"/>
                <w:szCs w:val="16"/>
              </w:rPr>
            </w:pPr>
          </w:p>
        </w:tc>
        <w:tc>
          <w:tcPr>
            <w:tcW w:w="1080" w:type="dxa"/>
            <w:vAlign w:val="center"/>
          </w:tcPr>
          <w:p w:rsidR="00B90EE1" w:rsidRDefault="00B90EE1">
            <w:pPr>
              <w:spacing w:before="60" w:after="60" w:line="200" w:lineRule="exact"/>
              <w:jc w:val="right"/>
              <w:rPr>
                <w:noProof/>
                <w:sz w:val="16"/>
                <w:szCs w:val="16"/>
              </w:rPr>
            </w:pPr>
          </w:p>
        </w:tc>
        <w:tc>
          <w:tcPr>
            <w:tcW w:w="1080" w:type="dxa"/>
            <w:vAlign w:val="center"/>
          </w:tcPr>
          <w:p w:rsidR="00B90EE1" w:rsidRDefault="00B90EE1">
            <w:pPr>
              <w:spacing w:before="60" w:after="60" w:line="200" w:lineRule="exact"/>
              <w:jc w:val="right"/>
              <w:rPr>
                <w:noProof/>
                <w:sz w:val="16"/>
                <w:szCs w:val="16"/>
              </w:rPr>
            </w:pPr>
          </w:p>
        </w:tc>
        <w:tc>
          <w:tcPr>
            <w:tcW w:w="1080" w:type="dxa"/>
            <w:vAlign w:val="center"/>
          </w:tcPr>
          <w:p w:rsidR="00B90EE1" w:rsidRDefault="00B90EE1">
            <w:pPr>
              <w:spacing w:before="60" w:after="60" w:line="200" w:lineRule="exact"/>
              <w:jc w:val="right"/>
              <w:rPr>
                <w:noProof/>
                <w:sz w:val="16"/>
                <w:szCs w:val="16"/>
              </w:rPr>
            </w:pPr>
          </w:p>
        </w:tc>
        <w:tc>
          <w:tcPr>
            <w:tcW w:w="1080" w:type="dxa"/>
            <w:vAlign w:val="center"/>
          </w:tcPr>
          <w:p w:rsidR="00B90EE1" w:rsidRDefault="00B90EE1">
            <w:pPr>
              <w:spacing w:before="60" w:after="60" w:line="200" w:lineRule="exact"/>
              <w:jc w:val="right"/>
              <w:rPr>
                <w:b/>
                <w:noProof/>
                <w:sz w:val="16"/>
                <w:szCs w:val="16"/>
              </w:rPr>
            </w:pPr>
          </w:p>
        </w:tc>
        <w:tc>
          <w:tcPr>
            <w:tcW w:w="1080" w:type="dxa"/>
            <w:vAlign w:val="center"/>
          </w:tcPr>
          <w:p w:rsidR="00B90EE1" w:rsidRDefault="00B90EE1">
            <w:pPr>
              <w:spacing w:before="60" w:after="60" w:line="200" w:lineRule="exact"/>
              <w:jc w:val="right"/>
              <w:rPr>
                <w:b/>
                <w:noProof/>
                <w:sz w:val="16"/>
                <w:szCs w:val="16"/>
              </w:rPr>
            </w:pPr>
          </w:p>
        </w:tc>
      </w:tr>
      <w:tr w:rsidR="00B90EE1">
        <w:trPr>
          <w:trHeight w:val="585"/>
        </w:trPr>
        <w:tc>
          <w:tcPr>
            <w:tcW w:w="1980" w:type="dxa"/>
            <w:vAlign w:val="center"/>
          </w:tcPr>
          <w:p w:rsidR="00B90EE1" w:rsidRDefault="003A231F">
            <w:pPr>
              <w:spacing w:before="60" w:after="60" w:line="200" w:lineRule="exact"/>
              <w:ind w:left="72"/>
              <w:jc w:val="left"/>
              <w:rPr>
                <w:noProof/>
                <w:sz w:val="16"/>
                <w:szCs w:val="16"/>
              </w:rPr>
            </w:pPr>
            <w:r>
              <w:rPr>
                <w:noProof/>
                <w:sz w:val="16"/>
              </w:rPr>
              <w:t xml:space="preserve">Ostatné administratívne </w:t>
            </w:r>
            <w:r>
              <w:rPr>
                <w:noProof/>
                <w:sz w:val="22"/>
              </w:rPr>
              <w:br/>
            </w:r>
            <w:r>
              <w:rPr>
                <w:noProof/>
                <w:sz w:val="16"/>
              </w:rPr>
              <w:t>výdavky</w:t>
            </w:r>
          </w:p>
        </w:tc>
        <w:tc>
          <w:tcPr>
            <w:tcW w:w="1080" w:type="dxa"/>
            <w:vAlign w:val="center"/>
          </w:tcPr>
          <w:p w:rsidR="00B90EE1" w:rsidRDefault="00B90EE1">
            <w:pPr>
              <w:spacing w:before="60" w:after="60" w:line="200" w:lineRule="exact"/>
              <w:jc w:val="right"/>
              <w:rPr>
                <w:noProof/>
                <w:sz w:val="16"/>
                <w:szCs w:val="16"/>
              </w:rPr>
            </w:pPr>
          </w:p>
        </w:tc>
        <w:tc>
          <w:tcPr>
            <w:tcW w:w="1080" w:type="dxa"/>
            <w:vAlign w:val="center"/>
          </w:tcPr>
          <w:p w:rsidR="00B90EE1" w:rsidRDefault="00B90EE1">
            <w:pPr>
              <w:spacing w:before="60" w:after="60" w:line="200" w:lineRule="exact"/>
              <w:jc w:val="right"/>
              <w:rPr>
                <w:noProof/>
                <w:sz w:val="16"/>
                <w:szCs w:val="16"/>
              </w:rPr>
            </w:pPr>
          </w:p>
        </w:tc>
        <w:tc>
          <w:tcPr>
            <w:tcW w:w="1080" w:type="dxa"/>
            <w:vAlign w:val="center"/>
          </w:tcPr>
          <w:p w:rsidR="00B90EE1" w:rsidRDefault="00B90EE1">
            <w:pPr>
              <w:spacing w:before="60" w:after="60" w:line="200" w:lineRule="exact"/>
              <w:jc w:val="right"/>
              <w:rPr>
                <w:noProof/>
                <w:sz w:val="16"/>
                <w:szCs w:val="16"/>
              </w:rPr>
            </w:pPr>
          </w:p>
        </w:tc>
        <w:tc>
          <w:tcPr>
            <w:tcW w:w="1080" w:type="dxa"/>
            <w:vAlign w:val="center"/>
          </w:tcPr>
          <w:p w:rsidR="00B90EE1" w:rsidRDefault="00B90EE1">
            <w:pPr>
              <w:spacing w:before="60" w:after="60" w:line="200" w:lineRule="exact"/>
              <w:jc w:val="right"/>
              <w:rPr>
                <w:noProof/>
                <w:sz w:val="16"/>
                <w:szCs w:val="16"/>
              </w:rPr>
            </w:pPr>
          </w:p>
        </w:tc>
        <w:tc>
          <w:tcPr>
            <w:tcW w:w="1080" w:type="dxa"/>
            <w:vAlign w:val="center"/>
          </w:tcPr>
          <w:p w:rsidR="00B90EE1" w:rsidRDefault="00B90EE1">
            <w:pPr>
              <w:spacing w:before="60" w:after="60" w:line="200" w:lineRule="exact"/>
              <w:jc w:val="right"/>
              <w:rPr>
                <w:noProof/>
                <w:sz w:val="16"/>
                <w:szCs w:val="16"/>
              </w:rPr>
            </w:pPr>
          </w:p>
        </w:tc>
        <w:tc>
          <w:tcPr>
            <w:tcW w:w="1080" w:type="dxa"/>
            <w:vAlign w:val="center"/>
          </w:tcPr>
          <w:p w:rsidR="00B90EE1" w:rsidRDefault="00B90EE1">
            <w:pPr>
              <w:spacing w:before="60" w:after="60" w:line="200" w:lineRule="exact"/>
              <w:jc w:val="right"/>
              <w:rPr>
                <w:noProof/>
                <w:sz w:val="16"/>
                <w:szCs w:val="16"/>
              </w:rPr>
            </w:pPr>
          </w:p>
        </w:tc>
        <w:tc>
          <w:tcPr>
            <w:tcW w:w="1080" w:type="dxa"/>
            <w:vAlign w:val="center"/>
          </w:tcPr>
          <w:p w:rsidR="00B90EE1" w:rsidRDefault="00B90EE1">
            <w:pPr>
              <w:spacing w:before="60" w:after="60" w:line="200" w:lineRule="exact"/>
              <w:jc w:val="right"/>
              <w:rPr>
                <w:b/>
                <w:noProof/>
                <w:sz w:val="16"/>
                <w:szCs w:val="16"/>
              </w:rPr>
            </w:pPr>
          </w:p>
        </w:tc>
        <w:tc>
          <w:tcPr>
            <w:tcW w:w="1080" w:type="dxa"/>
            <w:vAlign w:val="center"/>
          </w:tcPr>
          <w:p w:rsidR="00B90EE1" w:rsidRDefault="00B90EE1">
            <w:pPr>
              <w:spacing w:before="60" w:after="60" w:line="200" w:lineRule="exact"/>
              <w:jc w:val="right"/>
              <w:rPr>
                <w:b/>
                <w:noProof/>
                <w:sz w:val="16"/>
                <w:szCs w:val="16"/>
              </w:rPr>
            </w:pPr>
          </w:p>
        </w:tc>
      </w:tr>
      <w:tr w:rsidR="00B90EE1">
        <w:trPr>
          <w:trHeight w:val="585"/>
        </w:trPr>
        <w:tc>
          <w:tcPr>
            <w:tcW w:w="1980" w:type="dxa"/>
            <w:shd w:val="clear" w:color="auto" w:fill="CCCCCC"/>
            <w:vAlign w:val="center"/>
          </w:tcPr>
          <w:p w:rsidR="00B90EE1" w:rsidRDefault="003A231F">
            <w:pPr>
              <w:spacing w:before="60" w:after="60" w:line="200" w:lineRule="exact"/>
              <w:jc w:val="center"/>
              <w:rPr>
                <w:b/>
                <w:noProof/>
                <w:sz w:val="16"/>
                <w:szCs w:val="16"/>
              </w:rPr>
            </w:pPr>
            <w:r>
              <w:rPr>
                <w:b/>
                <w:noProof/>
                <w:sz w:val="16"/>
              </w:rPr>
              <w:t xml:space="preserve">Mimo </w:t>
            </w:r>
            <w:r>
              <w:rPr>
                <w:noProof/>
                <w:sz w:val="22"/>
              </w:rPr>
              <w:br/>
            </w:r>
            <w:r>
              <w:rPr>
                <w:b/>
                <w:noProof/>
                <w:sz w:val="16"/>
              </w:rPr>
              <w:t>OKRUHU 5</w:t>
            </w:r>
            <w:r>
              <w:rPr>
                <w:noProof/>
                <w:sz w:val="22"/>
              </w:rPr>
              <w:br/>
            </w:r>
            <w:r>
              <w:rPr>
                <w:b/>
                <w:noProof/>
                <w:sz w:val="16"/>
              </w:rPr>
              <w:t xml:space="preserve">viacročného finančného rámca SPOLU </w:t>
            </w:r>
          </w:p>
        </w:tc>
        <w:tc>
          <w:tcPr>
            <w:tcW w:w="1080" w:type="dxa"/>
            <w:vAlign w:val="center"/>
          </w:tcPr>
          <w:p w:rsidR="00B90EE1" w:rsidRDefault="00B90EE1">
            <w:pPr>
              <w:spacing w:before="60" w:after="60" w:line="200" w:lineRule="exact"/>
              <w:jc w:val="right"/>
              <w:rPr>
                <w:noProof/>
                <w:sz w:val="16"/>
                <w:szCs w:val="16"/>
              </w:rPr>
            </w:pPr>
          </w:p>
        </w:tc>
        <w:tc>
          <w:tcPr>
            <w:tcW w:w="1080" w:type="dxa"/>
            <w:vAlign w:val="center"/>
          </w:tcPr>
          <w:p w:rsidR="00B90EE1" w:rsidRDefault="00B90EE1">
            <w:pPr>
              <w:spacing w:before="60" w:after="60" w:line="200" w:lineRule="exact"/>
              <w:jc w:val="right"/>
              <w:rPr>
                <w:noProof/>
                <w:sz w:val="16"/>
                <w:szCs w:val="16"/>
              </w:rPr>
            </w:pPr>
          </w:p>
        </w:tc>
        <w:tc>
          <w:tcPr>
            <w:tcW w:w="1080" w:type="dxa"/>
            <w:vAlign w:val="center"/>
          </w:tcPr>
          <w:p w:rsidR="00B90EE1" w:rsidRDefault="00B90EE1">
            <w:pPr>
              <w:spacing w:before="60" w:after="60" w:line="200" w:lineRule="exact"/>
              <w:jc w:val="right"/>
              <w:rPr>
                <w:noProof/>
                <w:sz w:val="16"/>
                <w:szCs w:val="16"/>
              </w:rPr>
            </w:pPr>
          </w:p>
        </w:tc>
        <w:tc>
          <w:tcPr>
            <w:tcW w:w="1080" w:type="dxa"/>
            <w:vAlign w:val="center"/>
          </w:tcPr>
          <w:p w:rsidR="00B90EE1" w:rsidRDefault="00B90EE1">
            <w:pPr>
              <w:spacing w:before="60" w:after="60" w:line="200" w:lineRule="exact"/>
              <w:jc w:val="right"/>
              <w:rPr>
                <w:noProof/>
                <w:sz w:val="16"/>
                <w:szCs w:val="16"/>
              </w:rPr>
            </w:pPr>
          </w:p>
        </w:tc>
        <w:tc>
          <w:tcPr>
            <w:tcW w:w="1080" w:type="dxa"/>
            <w:vAlign w:val="center"/>
          </w:tcPr>
          <w:p w:rsidR="00B90EE1" w:rsidRDefault="00B90EE1">
            <w:pPr>
              <w:spacing w:before="60" w:after="60" w:line="200" w:lineRule="exact"/>
              <w:jc w:val="right"/>
              <w:rPr>
                <w:noProof/>
                <w:sz w:val="16"/>
                <w:szCs w:val="16"/>
              </w:rPr>
            </w:pPr>
          </w:p>
        </w:tc>
        <w:tc>
          <w:tcPr>
            <w:tcW w:w="1080" w:type="dxa"/>
            <w:vAlign w:val="center"/>
          </w:tcPr>
          <w:p w:rsidR="00B90EE1" w:rsidRDefault="00B90EE1">
            <w:pPr>
              <w:spacing w:before="60" w:after="60" w:line="200" w:lineRule="exact"/>
              <w:jc w:val="right"/>
              <w:rPr>
                <w:noProof/>
                <w:sz w:val="16"/>
                <w:szCs w:val="16"/>
              </w:rPr>
            </w:pPr>
          </w:p>
        </w:tc>
        <w:tc>
          <w:tcPr>
            <w:tcW w:w="1080" w:type="dxa"/>
            <w:vAlign w:val="center"/>
          </w:tcPr>
          <w:p w:rsidR="00B90EE1" w:rsidRDefault="00B90EE1">
            <w:pPr>
              <w:spacing w:before="60" w:after="60" w:line="200" w:lineRule="exact"/>
              <w:jc w:val="right"/>
              <w:rPr>
                <w:b/>
                <w:noProof/>
                <w:sz w:val="16"/>
                <w:szCs w:val="16"/>
              </w:rPr>
            </w:pPr>
          </w:p>
        </w:tc>
        <w:tc>
          <w:tcPr>
            <w:tcW w:w="1080" w:type="dxa"/>
            <w:vAlign w:val="center"/>
          </w:tcPr>
          <w:p w:rsidR="00B90EE1" w:rsidRDefault="00B90EE1">
            <w:pPr>
              <w:spacing w:before="60" w:after="60" w:line="200" w:lineRule="exact"/>
              <w:jc w:val="right"/>
              <w:rPr>
                <w:b/>
                <w:noProof/>
                <w:sz w:val="16"/>
                <w:szCs w:val="16"/>
              </w:rPr>
            </w:pPr>
          </w:p>
        </w:tc>
      </w:tr>
    </w:tbl>
    <w:p w:rsidR="00B90EE1" w:rsidRDefault="00B90EE1">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B90EE1">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rsidR="00B90EE1" w:rsidRDefault="003A231F">
            <w:pPr>
              <w:spacing w:before="60" w:after="60" w:line="200" w:lineRule="exact"/>
              <w:jc w:val="center"/>
              <w:rPr>
                <w:noProof/>
                <w:sz w:val="16"/>
                <w:szCs w:val="16"/>
              </w:rPr>
            </w:pPr>
            <w:r>
              <w:rPr>
                <w:b/>
                <w:noProof/>
                <w:sz w:val="16"/>
              </w:rPr>
              <w:t>SPOLU</w:t>
            </w:r>
          </w:p>
        </w:tc>
        <w:tc>
          <w:tcPr>
            <w:tcW w:w="1080" w:type="dxa"/>
            <w:tcBorders>
              <w:top w:val="single" w:sz="12" w:space="0" w:color="auto"/>
              <w:left w:val="single" w:sz="2" w:space="0" w:color="auto"/>
              <w:bottom w:val="single" w:sz="12" w:space="0" w:color="auto"/>
              <w:right w:val="single" w:sz="2" w:space="0" w:color="auto"/>
            </w:tcBorders>
            <w:vAlign w:val="center"/>
          </w:tcPr>
          <w:p w:rsidR="00B90EE1" w:rsidRDefault="003A231F">
            <w:pPr>
              <w:spacing w:before="60" w:after="60" w:line="200" w:lineRule="exact"/>
              <w:jc w:val="right"/>
              <w:rPr>
                <w:b/>
                <w:noProof/>
                <w:sz w:val="16"/>
                <w:szCs w:val="16"/>
              </w:rPr>
            </w:pPr>
            <w:r>
              <w:rPr>
                <w:b/>
                <w:noProof/>
                <w:sz w:val="16"/>
              </w:rPr>
              <w:t>3,224</w:t>
            </w:r>
          </w:p>
        </w:tc>
        <w:tc>
          <w:tcPr>
            <w:tcW w:w="1080" w:type="dxa"/>
            <w:tcBorders>
              <w:top w:val="single" w:sz="12" w:space="0" w:color="auto"/>
              <w:left w:val="single" w:sz="2" w:space="0" w:color="auto"/>
              <w:bottom w:val="single" w:sz="12" w:space="0" w:color="auto"/>
              <w:right w:val="single" w:sz="2" w:space="0" w:color="auto"/>
            </w:tcBorders>
            <w:vAlign w:val="center"/>
          </w:tcPr>
          <w:p w:rsidR="00B90EE1" w:rsidRDefault="003A231F">
            <w:pPr>
              <w:spacing w:before="60" w:after="60" w:line="200" w:lineRule="exact"/>
              <w:jc w:val="right"/>
              <w:rPr>
                <w:b/>
                <w:noProof/>
                <w:sz w:val="16"/>
                <w:szCs w:val="16"/>
              </w:rPr>
            </w:pPr>
            <w:r>
              <w:rPr>
                <w:b/>
                <w:noProof/>
                <w:sz w:val="16"/>
              </w:rPr>
              <w:t>3,224</w:t>
            </w:r>
          </w:p>
        </w:tc>
        <w:tc>
          <w:tcPr>
            <w:tcW w:w="1080" w:type="dxa"/>
            <w:tcBorders>
              <w:top w:val="single" w:sz="12" w:space="0" w:color="auto"/>
              <w:left w:val="single" w:sz="2" w:space="0" w:color="auto"/>
              <w:bottom w:val="single" w:sz="12" w:space="0" w:color="auto"/>
              <w:right w:val="single" w:sz="2" w:space="0" w:color="auto"/>
            </w:tcBorders>
            <w:vAlign w:val="center"/>
          </w:tcPr>
          <w:p w:rsidR="00B90EE1" w:rsidRDefault="003A231F">
            <w:pPr>
              <w:spacing w:before="60" w:after="60" w:line="200" w:lineRule="exact"/>
              <w:jc w:val="right"/>
              <w:rPr>
                <w:b/>
                <w:noProof/>
                <w:sz w:val="16"/>
                <w:szCs w:val="16"/>
              </w:rPr>
            </w:pPr>
            <w:r>
              <w:rPr>
                <w:b/>
                <w:noProof/>
                <w:sz w:val="16"/>
              </w:rPr>
              <w:t>3,224</w:t>
            </w:r>
          </w:p>
        </w:tc>
        <w:tc>
          <w:tcPr>
            <w:tcW w:w="1080" w:type="dxa"/>
            <w:tcBorders>
              <w:top w:val="single" w:sz="12" w:space="0" w:color="auto"/>
              <w:left w:val="single" w:sz="2" w:space="0" w:color="auto"/>
              <w:bottom w:val="single" w:sz="12" w:space="0" w:color="auto"/>
              <w:right w:val="single" w:sz="2" w:space="0" w:color="auto"/>
            </w:tcBorders>
            <w:vAlign w:val="center"/>
          </w:tcPr>
          <w:p w:rsidR="00B90EE1" w:rsidRDefault="003A231F">
            <w:pPr>
              <w:spacing w:before="60" w:after="60" w:line="200" w:lineRule="exact"/>
              <w:jc w:val="right"/>
              <w:rPr>
                <w:b/>
                <w:noProof/>
                <w:sz w:val="16"/>
                <w:szCs w:val="16"/>
              </w:rPr>
            </w:pPr>
            <w:r>
              <w:rPr>
                <w:b/>
                <w:noProof/>
                <w:sz w:val="16"/>
              </w:rPr>
              <w:t>3,224</w:t>
            </w:r>
          </w:p>
        </w:tc>
        <w:tc>
          <w:tcPr>
            <w:tcW w:w="1080" w:type="dxa"/>
            <w:tcBorders>
              <w:top w:val="single" w:sz="12" w:space="0" w:color="auto"/>
              <w:left w:val="single" w:sz="2" w:space="0" w:color="auto"/>
              <w:bottom w:val="single" w:sz="12" w:space="0" w:color="auto"/>
              <w:right w:val="single" w:sz="2" w:space="0" w:color="auto"/>
            </w:tcBorders>
            <w:vAlign w:val="center"/>
          </w:tcPr>
          <w:p w:rsidR="00B90EE1" w:rsidRDefault="00B90EE1">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B90EE1" w:rsidRDefault="00B90EE1">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rsidR="00B90EE1" w:rsidRDefault="00B90EE1">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rsidR="00B90EE1" w:rsidRDefault="003A231F">
            <w:pPr>
              <w:spacing w:before="60" w:after="60" w:line="200" w:lineRule="exact"/>
              <w:jc w:val="right"/>
              <w:rPr>
                <w:b/>
                <w:noProof/>
                <w:sz w:val="16"/>
                <w:szCs w:val="16"/>
              </w:rPr>
            </w:pPr>
            <w:r>
              <w:rPr>
                <w:b/>
                <w:noProof/>
                <w:sz w:val="16"/>
              </w:rPr>
              <w:t>3,362</w:t>
            </w:r>
          </w:p>
        </w:tc>
      </w:tr>
    </w:tbl>
    <w:p w:rsidR="00B90EE1" w:rsidRDefault="003A231F">
      <w:pPr>
        <w:rPr>
          <w:noProof/>
          <w:sz w:val="18"/>
        </w:rPr>
        <w:sectPr w:rsidR="00B90EE1">
          <w:headerReference w:type="default" r:id="rId21"/>
          <w:footerReference w:type="default" r:id="rId22"/>
          <w:headerReference w:type="first" r:id="rId23"/>
          <w:footerReference w:type="first" r:id="rId24"/>
          <w:pgSz w:w="11907" w:h="16840"/>
          <w:pgMar w:top="1134" w:right="1418" w:bottom="1134" w:left="1418" w:header="709" w:footer="709" w:gutter="0"/>
          <w:cols w:space="708"/>
          <w:docGrid w:linePitch="360"/>
        </w:sectPr>
      </w:pPr>
      <w:r>
        <w:rPr>
          <w:noProof/>
          <w:sz w:val="18"/>
        </w:rPr>
        <w:t>Rozpočtové prostriedky potrebné na ľudské zdroje a na ostatné administratívne výdavky budú pokryté rozpočtovými prostriedkami GR, ktoré už boli pridelené na riadenie akcie a/alebo boli prerozdelené v rámci GR, a v prípade potreby budú d</w:t>
      </w:r>
      <w:r>
        <w:rPr>
          <w:noProof/>
          <w:sz w:val="18"/>
        </w:rPr>
        <w:t>oplnené zdrojmi, ktoré sa môžu prideliť riadiacemu GR v rámci ročného postupu prideľovania zdrojov a v závislosti od rozpočtových obmedzení.</w:t>
      </w:r>
    </w:p>
    <w:p w:rsidR="00B90EE1" w:rsidRDefault="003A231F">
      <w:pPr>
        <w:pStyle w:val="ManualHeading4"/>
        <w:rPr>
          <w:bCs/>
          <w:noProof/>
          <w:szCs w:val="24"/>
        </w:rPr>
      </w:pPr>
      <w:r>
        <w:rPr>
          <w:noProof/>
        </w:rPr>
        <w:lastRenderedPageBreak/>
        <w:t>3.2.3.2.</w:t>
      </w:r>
      <w:r>
        <w:rPr>
          <w:noProof/>
        </w:rPr>
        <w:tab/>
        <w:t>Odhadované potreby ľudských zdrojov</w:t>
      </w:r>
    </w:p>
    <w:p w:rsidR="00B90EE1" w:rsidRDefault="003A231F">
      <w:pPr>
        <w:pStyle w:val="ListDash1"/>
        <w:rPr>
          <w:noProof/>
        </w:rPr>
      </w:pPr>
      <w:r>
        <w:rPr>
          <w:noProof/>
        </w:rPr>
        <w:sym w:font="Wingdings" w:char="F0A8"/>
      </w:r>
      <w:r>
        <w:rPr>
          <w:noProof/>
        </w:rPr>
        <w:tab/>
        <w:t>Návrh/iniciatíva si nevyžaduje použitie ľudských zdrojov.</w:t>
      </w:r>
    </w:p>
    <w:p w:rsidR="00B90EE1" w:rsidRDefault="003A231F">
      <w:pPr>
        <w:pStyle w:val="ListDash1"/>
        <w:rPr>
          <w:noProof/>
        </w:rPr>
      </w:pPr>
      <w:r>
        <w:rPr>
          <w:noProof/>
        </w:rPr>
        <w:t>X</w:t>
      </w:r>
      <w:r>
        <w:rPr>
          <w:noProof/>
        </w:rPr>
        <w:tab/>
        <w:t>Návrh/in</w:t>
      </w:r>
      <w:r>
        <w:rPr>
          <w:noProof/>
        </w:rPr>
        <w:t>iciatíva si vyžaduje použitie ľudských zdrojov, ako je uvedené v nasledujúcej tabuľke:</w:t>
      </w:r>
    </w:p>
    <w:p w:rsidR="00B90EE1" w:rsidRDefault="003A231F">
      <w:pPr>
        <w:spacing w:after="60"/>
        <w:jc w:val="right"/>
        <w:rPr>
          <w:i/>
          <w:noProof/>
          <w:sz w:val="20"/>
        </w:rPr>
      </w:pPr>
      <w:r>
        <w:rPr>
          <w:i/>
          <w:noProof/>
          <w:sz w:val="20"/>
        </w:rPr>
        <w:t>odhady sa vyjadrujú v jednotkách ekvivalentu plného pracovného času</w:t>
      </w:r>
    </w:p>
    <w:tbl>
      <w:tblPr>
        <w:tblW w:w="554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9"/>
        <w:gridCol w:w="1901"/>
        <w:gridCol w:w="1903"/>
        <w:gridCol w:w="636"/>
        <w:gridCol w:w="636"/>
        <w:gridCol w:w="3795"/>
        <w:gridCol w:w="452"/>
        <w:gridCol w:w="236"/>
        <w:gridCol w:w="236"/>
        <w:gridCol w:w="236"/>
      </w:tblGrid>
      <w:tr w:rsidR="00B90EE1">
        <w:trPr>
          <w:gridBefore w:val="1"/>
          <w:wBefore w:w="6" w:type="pct"/>
          <w:trHeight w:val="289"/>
          <w:jc w:val="center"/>
        </w:trPr>
        <w:tc>
          <w:tcPr>
            <w:tcW w:w="1897" w:type="pct"/>
            <w:gridSpan w:val="2"/>
            <w:shd w:val="clear" w:color="auto" w:fill="auto"/>
          </w:tcPr>
          <w:p w:rsidR="00B90EE1" w:rsidRDefault="00B90EE1">
            <w:pPr>
              <w:pStyle w:val="Text1"/>
              <w:spacing w:before="40" w:after="40"/>
              <w:ind w:left="0"/>
              <w:jc w:val="center"/>
              <w:rPr>
                <w:i/>
                <w:noProof/>
                <w:sz w:val="16"/>
                <w:szCs w:val="16"/>
              </w:rPr>
            </w:pPr>
          </w:p>
        </w:tc>
        <w:tc>
          <w:tcPr>
            <w:tcW w:w="318" w:type="pct"/>
            <w:shd w:val="clear" w:color="auto" w:fill="auto"/>
            <w:vAlign w:val="center"/>
          </w:tcPr>
          <w:p w:rsidR="00B90EE1" w:rsidRDefault="003A231F">
            <w:pPr>
              <w:spacing w:before="20" w:after="20"/>
              <w:jc w:val="center"/>
              <w:rPr>
                <w:noProof/>
                <w:sz w:val="16"/>
                <w:szCs w:val="16"/>
              </w:rPr>
            </w:pPr>
            <w:r>
              <w:rPr>
                <w:noProof/>
                <w:sz w:val="16"/>
              </w:rPr>
              <w:t>Rok</w:t>
            </w:r>
            <w:r>
              <w:rPr>
                <w:noProof/>
                <w:sz w:val="22"/>
              </w:rPr>
              <w:br/>
            </w:r>
            <w:r>
              <w:rPr>
                <w:b/>
                <w:noProof/>
                <w:sz w:val="16"/>
              </w:rPr>
              <w:t>N</w:t>
            </w:r>
          </w:p>
        </w:tc>
        <w:tc>
          <w:tcPr>
            <w:tcW w:w="318" w:type="pct"/>
            <w:shd w:val="clear" w:color="auto" w:fill="auto"/>
            <w:vAlign w:val="center"/>
          </w:tcPr>
          <w:p w:rsidR="00B90EE1" w:rsidRDefault="003A231F">
            <w:pPr>
              <w:spacing w:before="20" w:after="20"/>
              <w:jc w:val="center"/>
              <w:rPr>
                <w:noProof/>
                <w:sz w:val="16"/>
                <w:szCs w:val="16"/>
              </w:rPr>
            </w:pPr>
            <w:r>
              <w:rPr>
                <w:noProof/>
                <w:sz w:val="16"/>
              </w:rPr>
              <w:t>Rok</w:t>
            </w:r>
            <w:r>
              <w:rPr>
                <w:noProof/>
                <w:sz w:val="22"/>
              </w:rPr>
              <w:br/>
            </w:r>
            <w:r>
              <w:rPr>
                <w:b/>
                <w:noProof/>
                <w:sz w:val="16"/>
              </w:rPr>
              <w:t>N + 1</w:t>
            </w:r>
          </w:p>
        </w:tc>
        <w:tc>
          <w:tcPr>
            <w:tcW w:w="1891" w:type="pct"/>
            <w:shd w:val="clear" w:color="auto" w:fill="auto"/>
            <w:vAlign w:val="center"/>
          </w:tcPr>
          <w:p w:rsidR="00B90EE1" w:rsidRDefault="003A231F">
            <w:pPr>
              <w:spacing w:before="20" w:after="20"/>
              <w:jc w:val="center"/>
              <w:rPr>
                <w:noProof/>
                <w:sz w:val="16"/>
                <w:szCs w:val="16"/>
              </w:rPr>
            </w:pPr>
            <w:r>
              <w:rPr>
                <w:noProof/>
                <w:sz w:val="16"/>
              </w:rPr>
              <w:t xml:space="preserve">Rok </w:t>
            </w:r>
            <w:r>
              <w:rPr>
                <w:b/>
                <w:noProof/>
                <w:sz w:val="16"/>
              </w:rPr>
              <w:t>N + 2</w:t>
            </w:r>
          </w:p>
        </w:tc>
        <w:tc>
          <w:tcPr>
            <w:tcW w:w="226" w:type="pct"/>
            <w:shd w:val="clear" w:color="auto" w:fill="auto"/>
            <w:vAlign w:val="center"/>
          </w:tcPr>
          <w:p w:rsidR="00B90EE1" w:rsidRDefault="003A231F">
            <w:pPr>
              <w:spacing w:before="20" w:after="20"/>
              <w:jc w:val="center"/>
              <w:rPr>
                <w:noProof/>
                <w:sz w:val="16"/>
                <w:szCs w:val="16"/>
              </w:rPr>
            </w:pPr>
            <w:r>
              <w:rPr>
                <w:noProof/>
                <w:sz w:val="16"/>
              </w:rPr>
              <w:t xml:space="preserve">Rok </w:t>
            </w:r>
            <w:r>
              <w:rPr>
                <w:b/>
                <w:noProof/>
                <w:sz w:val="16"/>
              </w:rPr>
              <w:t>N + 3</w:t>
            </w:r>
          </w:p>
        </w:tc>
        <w:tc>
          <w:tcPr>
            <w:tcW w:w="345" w:type="pct"/>
            <w:gridSpan w:val="3"/>
            <w:shd w:val="clear" w:color="auto" w:fill="auto"/>
            <w:vAlign w:val="center"/>
          </w:tcPr>
          <w:p w:rsidR="00B90EE1" w:rsidRDefault="003A231F">
            <w:pPr>
              <w:jc w:val="center"/>
              <w:rPr>
                <w:b/>
                <w:noProof/>
                <w:sz w:val="16"/>
                <w:szCs w:val="16"/>
              </w:rPr>
            </w:pPr>
            <w:r>
              <w:rPr>
                <w:noProof/>
                <w:sz w:val="16"/>
              </w:rPr>
              <w:t>Uveďte všetky roky, počas ktorých vplyv trvá (pozri bod 1.6)</w:t>
            </w:r>
          </w:p>
        </w:tc>
      </w:tr>
      <w:tr w:rsidR="00B90EE1">
        <w:trPr>
          <w:gridBefore w:val="1"/>
          <w:wBefore w:w="6" w:type="pct"/>
          <w:trHeight w:val="289"/>
          <w:jc w:val="center"/>
        </w:trPr>
        <w:tc>
          <w:tcPr>
            <w:tcW w:w="4424" w:type="pct"/>
            <w:gridSpan w:val="5"/>
            <w:shd w:val="clear" w:color="auto" w:fill="auto"/>
          </w:tcPr>
          <w:p w:rsidR="00B90EE1" w:rsidRDefault="003A231F">
            <w:pPr>
              <w:spacing w:before="20" w:after="20"/>
              <w:rPr>
                <w:noProof/>
                <w:sz w:val="16"/>
                <w:szCs w:val="16"/>
              </w:rPr>
            </w:pPr>
            <w:r>
              <w:rPr>
                <w:b/>
                <w:noProof/>
                <w:sz w:val="16"/>
              </w:rPr>
              <w:sym w:font="Wingdings" w:char="F09F"/>
            </w:r>
            <w:r>
              <w:rPr>
                <w:b/>
                <w:noProof/>
                <w:sz w:val="16"/>
              </w:rPr>
              <w:t xml:space="preserve"> Plán pracovných miest (úradníci a dočasní zamestnanci)</w:t>
            </w:r>
          </w:p>
        </w:tc>
        <w:tc>
          <w:tcPr>
            <w:tcW w:w="226" w:type="pct"/>
            <w:shd w:val="clear" w:color="auto" w:fill="auto"/>
            <w:vAlign w:val="center"/>
          </w:tcPr>
          <w:p w:rsidR="00B90EE1" w:rsidRDefault="00B90EE1">
            <w:pPr>
              <w:spacing w:before="20" w:after="20"/>
              <w:jc w:val="center"/>
              <w:rPr>
                <w:noProof/>
                <w:sz w:val="16"/>
                <w:szCs w:val="16"/>
              </w:rPr>
            </w:pPr>
          </w:p>
        </w:tc>
        <w:tc>
          <w:tcPr>
            <w:tcW w:w="345" w:type="pct"/>
            <w:gridSpan w:val="3"/>
            <w:shd w:val="clear" w:color="auto" w:fill="auto"/>
            <w:vAlign w:val="center"/>
          </w:tcPr>
          <w:p w:rsidR="00B90EE1" w:rsidRDefault="00B90EE1">
            <w:pPr>
              <w:jc w:val="center"/>
              <w:rPr>
                <w:noProof/>
                <w:sz w:val="16"/>
                <w:szCs w:val="16"/>
              </w:rPr>
            </w:pPr>
          </w:p>
        </w:tc>
      </w:tr>
      <w:tr w:rsidR="00B90EE1">
        <w:trPr>
          <w:gridBefore w:val="1"/>
          <w:wBefore w:w="6" w:type="pct"/>
          <w:trHeight w:val="289"/>
          <w:jc w:val="center"/>
        </w:trPr>
        <w:tc>
          <w:tcPr>
            <w:tcW w:w="1897" w:type="pct"/>
            <w:gridSpan w:val="2"/>
            <w:shd w:val="clear" w:color="auto" w:fill="auto"/>
            <w:vAlign w:val="center"/>
          </w:tcPr>
          <w:p w:rsidR="00B90EE1" w:rsidRDefault="003A231F">
            <w:pPr>
              <w:pStyle w:val="Text1"/>
              <w:spacing w:beforeLines="20" w:before="48" w:afterLines="20" w:after="48"/>
              <w:ind w:left="134"/>
              <w:jc w:val="left"/>
              <w:rPr>
                <w:b/>
                <w:noProof/>
                <w:sz w:val="16"/>
                <w:szCs w:val="16"/>
              </w:rPr>
            </w:pPr>
            <w:r>
              <w:rPr>
                <w:noProof/>
                <w:sz w:val="16"/>
              </w:rPr>
              <w:t>02 01 01 01 (ústredie a zastúpenia Komisie)</w:t>
            </w:r>
          </w:p>
        </w:tc>
        <w:tc>
          <w:tcPr>
            <w:tcW w:w="318" w:type="pct"/>
            <w:shd w:val="clear" w:color="auto" w:fill="auto"/>
            <w:vAlign w:val="center"/>
          </w:tcPr>
          <w:p w:rsidR="00B90EE1" w:rsidRDefault="003A231F">
            <w:pPr>
              <w:spacing w:beforeLines="20" w:before="48" w:afterLines="20" w:after="48"/>
              <w:jc w:val="center"/>
              <w:rPr>
                <w:noProof/>
                <w:sz w:val="16"/>
                <w:szCs w:val="16"/>
              </w:rPr>
            </w:pPr>
            <w:r>
              <w:rPr>
                <w:noProof/>
                <w:sz w:val="16"/>
              </w:rPr>
              <w:t>2</w:t>
            </w:r>
          </w:p>
        </w:tc>
        <w:tc>
          <w:tcPr>
            <w:tcW w:w="318" w:type="pct"/>
            <w:shd w:val="clear" w:color="auto" w:fill="auto"/>
            <w:vAlign w:val="center"/>
          </w:tcPr>
          <w:p w:rsidR="00B90EE1" w:rsidRDefault="003A231F">
            <w:pPr>
              <w:spacing w:beforeLines="20" w:before="48" w:afterLines="20" w:after="48"/>
              <w:jc w:val="center"/>
              <w:rPr>
                <w:noProof/>
                <w:sz w:val="16"/>
                <w:szCs w:val="16"/>
              </w:rPr>
            </w:pPr>
            <w:r>
              <w:rPr>
                <w:noProof/>
                <w:sz w:val="16"/>
              </w:rPr>
              <w:t>2</w:t>
            </w:r>
          </w:p>
        </w:tc>
        <w:tc>
          <w:tcPr>
            <w:tcW w:w="1891" w:type="pct"/>
            <w:shd w:val="clear" w:color="auto" w:fill="auto"/>
            <w:vAlign w:val="center"/>
          </w:tcPr>
          <w:p w:rsidR="00B90EE1" w:rsidRDefault="003A231F">
            <w:pPr>
              <w:spacing w:beforeLines="20" w:before="48" w:afterLines="20" w:after="48"/>
              <w:jc w:val="center"/>
              <w:rPr>
                <w:noProof/>
                <w:sz w:val="16"/>
                <w:szCs w:val="16"/>
              </w:rPr>
            </w:pPr>
            <w:r>
              <w:rPr>
                <w:noProof/>
                <w:sz w:val="16"/>
              </w:rPr>
              <w:t>2</w:t>
            </w:r>
          </w:p>
        </w:tc>
        <w:tc>
          <w:tcPr>
            <w:tcW w:w="226" w:type="pct"/>
            <w:shd w:val="clear" w:color="auto" w:fill="auto"/>
            <w:vAlign w:val="center"/>
          </w:tcPr>
          <w:p w:rsidR="00B90EE1" w:rsidRDefault="003A231F">
            <w:pPr>
              <w:spacing w:beforeLines="20" w:before="48" w:afterLines="20" w:after="48"/>
              <w:jc w:val="center"/>
              <w:rPr>
                <w:noProof/>
                <w:sz w:val="16"/>
                <w:szCs w:val="16"/>
              </w:rPr>
            </w:pPr>
            <w:r>
              <w:rPr>
                <w:noProof/>
                <w:sz w:val="16"/>
              </w:rPr>
              <w:t>2</w:t>
            </w:r>
          </w:p>
        </w:tc>
        <w:tc>
          <w:tcPr>
            <w:tcW w:w="115" w:type="pct"/>
            <w:shd w:val="clear" w:color="auto" w:fill="auto"/>
            <w:vAlign w:val="center"/>
          </w:tcPr>
          <w:p w:rsidR="00B90EE1" w:rsidRDefault="00B90EE1">
            <w:pPr>
              <w:spacing w:beforeLines="20" w:before="48" w:afterLines="20" w:after="48"/>
              <w:jc w:val="center"/>
              <w:rPr>
                <w:noProof/>
                <w:sz w:val="16"/>
                <w:szCs w:val="16"/>
              </w:rPr>
            </w:pPr>
          </w:p>
        </w:tc>
        <w:tc>
          <w:tcPr>
            <w:tcW w:w="115" w:type="pct"/>
            <w:shd w:val="clear" w:color="auto" w:fill="auto"/>
            <w:vAlign w:val="center"/>
          </w:tcPr>
          <w:p w:rsidR="00B90EE1" w:rsidRDefault="00B90EE1">
            <w:pPr>
              <w:spacing w:beforeLines="20" w:before="48" w:afterLines="20" w:after="48"/>
              <w:jc w:val="center"/>
              <w:rPr>
                <w:noProof/>
                <w:sz w:val="16"/>
                <w:szCs w:val="16"/>
              </w:rPr>
            </w:pPr>
          </w:p>
        </w:tc>
        <w:tc>
          <w:tcPr>
            <w:tcW w:w="115" w:type="pct"/>
            <w:shd w:val="clear" w:color="auto" w:fill="auto"/>
            <w:vAlign w:val="center"/>
          </w:tcPr>
          <w:p w:rsidR="00B90EE1" w:rsidRDefault="00B90EE1">
            <w:pPr>
              <w:spacing w:beforeLines="20" w:before="48" w:afterLines="20" w:after="48"/>
              <w:jc w:val="center"/>
              <w:rPr>
                <w:noProof/>
                <w:sz w:val="16"/>
                <w:szCs w:val="16"/>
              </w:rPr>
            </w:pPr>
          </w:p>
        </w:tc>
      </w:tr>
      <w:tr w:rsidR="00B90EE1">
        <w:trPr>
          <w:gridBefore w:val="1"/>
          <w:wBefore w:w="6" w:type="pct"/>
          <w:trHeight w:val="289"/>
          <w:jc w:val="center"/>
        </w:trPr>
        <w:tc>
          <w:tcPr>
            <w:tcW w:w="1897" w:type="pct"/>
            <w:gridSpan w:val="2"/>
            <w:shd w:val="clear" w:color="auto" w:fill="auto"/>
            <w:vAlign w:val="center"/>
          </w:tcPr>
          <w:p w:rsidR="00B90EE1" w:rsidRDefault="003A231F">
            <w:pPr>
              <w:pStyle w:val="Text1"/>
              <w:spacing w:beforeLines="20" w:before="48" w:afterLines="20" w:after="48"/>
              <w:ind w:left="134"/>
              <w:jc w:val="left"/>
              <w:rPr>
                <w:b/>
                <w:noProof/>
                <w:sz w:val="16"/>
                <w:szCs w:val="16"/>
              </w:rPr>
            </w:pPr>
            <w:r>
              <w:rPr>
                <w:noProof/>
                <w:sz w:val="16"/>
              </w:rPr>
              <w:t>03 01 01 01 (ústredie a zastúpenia Komisie)</w:t>
            </w:r>
          </w:p>
        </w:tc>
        <w:tc>
          <w:tcPr>
            <w:tcW w:w="318" w:type="pct"/>
            <w:shd w:val="clear" w:color="auto" w:fill="auto"/>
            <w:vAlign w:val="center"/>
          </w:tcPr>
          <w:p w:rsidR="00B90EE1" w:rsidRDefault="003A231F">
            <w:pPr>
              <w:spacing w:beforeLines="20" w:before="48" w:afterLines="20" w:after="48"/>
              <w:jc w:val="center"/>
              <w:rPr>
                <w:noProof/>
                <w:sz w:val="16"/>
                <w:szCs w:val="16"/>
              </w:rPr>
            </w:pPr>
            <w:r>
              <w:rPr>
                <w:noProof/>
                <w:sz w:val="16"/>
              </w:rPr>
              <w:t>2</w:t>
            </w:r>
          </w:p>
        </w:tc>
        <w:tc>
          <w:tcPr>
            <w:tcW w:w="318" w:type="pct"/>
            <w:shd w:val="clear" w:color="auto" w:fill="auto"/>
            <w:vAlign w:val="center"/>
          </w:tcPr>
          <w:p w:rsidR="00B90EE1" w:rsidRDefault="003A231F">
            <w:pPr>
              <w:spacing w:beforeLines="20" w:before="48" w:afterLines="20" w:after="48"/>
              <w:jc w:val="center"/>
              <w:rPr>
                <w:noProof/>
                <w:sz w:val="16"/>
                <w:szCs w:val="16"/>
              </w:rPr>
            </w:pPr>
            <w:r>
              <w:rPr>
                <w:noProof/>
                <w:sz w:val="16"/>
              </w:rPr>
              <w:t>2</w:t>
            </w:r>
          </w:p>
        </w:tc>
        <w:tc>
          <w:tcPr>
            <w:tcW w:w="1891" w:type="pct"/>
            <w:shd w:val="clear" w:color="auto" w:fill="auto"/>
            <w:vAlign w:val="center"/>
          </w:tcPr>
          <w:p w:rsidR="00B90EE1" w:rsidRDefault="003A231F">
            <w:pPr>
              <w:spacing w:beforeLines="20" w:before="48" w:afterLines="20" w:after="48"/>
              <w:jc w:val="center"/>
              <w:rPr>
                <w:noProof/>
                <w:sz w:val="16"/>
                <w:szCs w:val="16"/>
              </w:rPr>
            </w:pPr>
            <w:r>
              <w:rPr>
                <w:noProof/>
                <w:sz w:val="16"/>
              </w:rPr>
              <w:t>2</w:t>
            </w:r>
          </w:p>
        </w:tc>
        <w:tc>
          <w:tcPr>
            <w:tcW w:w="226" w:type="pct"/>
            <w:shd w:val="clear" w:color="auto" w:fill="auto"/>
            <w:vAlign w:val="center"/>
          </w:tcPr>
          <w:p w:rsidR="00B90EE1" w:rsidRDefault="003A231F">
            <w:pPr>
              <w:spacing w:beforeLines="20" w:before="48" w:afterLines="20" w:after="48"/>
              <w:jc w:val="center"/>
              <w:rPr>
                <w:noProof/>
                <w:sz w:val="16"/>
                <w:szCs w:val="16"/>
              </w:rPr>
            </w:pPr>
            <w:r>
              <w:rPr>
                <w:noProof/>
                <w:sz w:val="16"/>
              </w:rPr>
              <w:t>2</w:t>
            </w:r>
          </w:p>
        </w:tc>
        <w:tc>
          <w:tcPr>
            <w:tcW w:w="115" w:type="pct"/>
            <w:shd w:val="clear" w:color="auto" w:fill="auto"/>
            <w:vAlign w:val="center"/>
          </w:tcPr>
          <w:p w:rsidR="00B90EE1" w:rsidRDefault="00B90EE1">
            <w:pPr>
              <w:spacing w:beforeLines="20" w:before="48" w:afterLines="20" w:after="48"/>
              <w:jc w:val="center"/>
              <w:rPr>
                <w:noProof/>
                <w:sz w:val="16"/>
                <w:szCs w:val="16"/>
              </w:rPr>
            </w:pPr>
          </w:p>
        </w:tc>
        <w:tc>
          <w:tcPr>
            <w:tcW w:w="115" w:type="pct"/>
            <w:shd w:val="clear" w:color="auto" w:fill="auto"/>
            <w:vAlign w:val="center"/>
          </w:tcPr>
          <w:p w:rsidR="00B90EE1" w:rsidRDefault="00B90EE1">
            <w:pPr>
              <w:spacing w:beforeLines="20" w:before="48" w:afterLines="20" w:after="48"/>
              <w:jc w:val="center"/>
              <w:rPr>
                <w:noProof/>
                <w:sz w:val="16"/>
                <w:szCs w:val="16"/>
              </w:rPr>
            </w:pPr>
          </w:p>
        </w:tc>
        <w:tc>
          <w:tcPr>
            <w:tcW w:w="115" w:type="pct"/>
            <w:shd w:val="clear" w:color="auto" w:fill="auto"/>
            <w:vAlign w:val="center"/>
          </w:tcPr>
          <w:p w:rsidR="00B90EE1" w:rsidRDefault="00B90EE1">
            <w:pPr>
              <w:spacing w:beforeLines="20" w:before="48" w:afterLines="20" w:after="48"/>
              <w:jc w:val="center"/>
              <w:rPr>
                <w:noProof/>
                <w:sz w:val="16"/>
                <w:szCs w:val="16"/>
              </w:rPr>
            </w:pPr>
          </w:p>
        </w:tc>
      </w:tr>
      <w:tr w:rsidR="00B90EE1">
        <w:trPr>
          <w:gridBefore w:val="1"/>
          <w:wBefore w:w="6" w:type="pct"/>
          <w:trHeight w:val="289"/>
          <w:jc w:val="center"/>
        </w:trPr>
        <w:tc>
          <w:tcPr>
            <w:tcW w:w="1897" w:type="pct"/>
            <w:gridSpan w:val="2"/>
            <w:shd w:val="clear" w:color="auto" w:fill="auto"/>
            <w:vAlign w:val="center"/>
          </w:tcPr>
          <w:p w:rsidR="00B90EE1" w:rsidRDefault="003A231F">
            <w:pPr>
              <w:pStyle w:val="Text1"/>
              <w:spacing w:beforeLines="20" w:before="48" w:afterLines="20" w:after="48"/>
              <w:ind w:left="134"/>
              <w:jc w:val="left"/>
              <w:rPr>
                <w:b/>
                <w:noProof/>
                <w:sz w:val="16"/>
                <w:szCs w:val="16"/>
              </w:rPr>
            </w:pPr>
            <w:r>
              <w:rPr>
                <w:noProof/>
                <w:sz w:val="16"/>
              </w:rPr>
              <w:t>06 01 01 01 (ústredie a zastúpenia Komisie)</w:t>
            </w:r>
          </w:p>
        </w:tc>
        <w:tc>
          <w:tcPr>
            <w:tcW w:w="318" w:type="pct"/>
            <w:shd w:val="clear" w:color="auto" w:fill="auto"/>
            <w:vAlign w:val="center"/>
          </w:tcPr>
          <w:p w:rsidR="00B90EE1" w:rsidRDefault="003A231F">
            <w:pPr>
              <w:spacing w:beforeLines="20" w:before="48" w:afterLines="20" w:after="48"/>
              <w:jc w:val="center"/>
              <w:rPr>
                <w:noProof/>
                <w:sz w:val="16"/>
                <w:szCs w:val="16"/>
              </w:rPr>
            </w:pPr>
            <w:r>
              <w:rPr>
                <w:noProof/>
                <w:sz w:val="16"/>
              </w:rPr>
              <w:t>2</w:t>
            </w:r>
          </w:p>
        </w:tc>
        <w:tc>
          <w:tcPr>
            <w:tcW w:w="318" w:type="pct"/>
            <w:shd w:val="clear" w:color="auto" w:fill="auto"/>
            <w:vAlign w:val="center"/>
          </w:tcPr>
          <w:p w:rsidR="00B90EE1" w:rsidRDefault="003A231F">
            <w:pPr>
              <w:spacing w:beforeLines="20" w:before="48" w:afterLines="20" w:after="48"/>
              <w:jc w:val="center"/>
              <w:rPr>
                <w:noProof/>
                <w:sz w:val="16"/>
                <w:szCs w:val="16"/>
              </w:rPr>
            </w:pPr>
            <w:r>
              <w:rPr>
                <w:noProof/>
                <w:sz w:val="16"/>
              </w:rPr>
              <w:t>2</w:t>
            </w:r>
          </w:p>
        </w:tc>
        <w:tc>
          <w:tcPr>
            <w:tcW w:w="1891" w:type="pct"/>
            <w:shd w:val="clear" w:color="auto" w:fill="auto"/>
            <w:vAlign w:val="center"/>
          </w:tcPr>
          <w:p w:rsidR="00B90EE1" w:rsidRDefault="003A231F">
            <w:pPr>
              <w:spacing w:beforeLines="20" w:before="48" w:afterLines="20" w:after="48"/>
              <w:jc w:val="center"/>
              <w:rPr>
                <w:noProof/>
                <w:sz w:val="16"/>
                <w:szCs w:val="16"/>
              </w:rPr>
            </w:pPr>
            <w:r>
              <w:rPr>
                <w:noProof/>
                <w:sz w:val="16"/>
              </w:rPr>
              <w:t>2</w:t>
            </w:r>
          </w:p>
        </w:tc>
        <w:tc>
          <w:tcPr>
            <w:tcW w:w="226" w:type="pct"/>
            <w:shd w:val="clear" w:color="auto" w:fill="auto"/>
            <w:vAlign w:val="center"/>
          </w:tcPr>
          <w:p w:rsidR="00B90EE1" w:rsidRDefault="003A231F">
            <w:pPr>
              <w:spacing w:beforeLines="20" w:before="48" w:afterLines="20" w:after="48"/>
              <w:jc w:val="center"/>
              <w:rPr>
                <w:noProof/>
                <w:sz w:val="16"/>
                <w:szCs w:val="16"/>
              </w:rPr>
            </w:pPr>
            <w:r>
              <w:rPr>
                <w:noProof/>
                <w:sz w:val="16"/>
              </w:rPr>
              <w:t>2</w:t>
            </w:r>
          </w:p>
        </w:tc>
        <w:tc>
          <w:tcPr>
            <w:tcW w:w="115" w:type="pct"/>
            <w:shd w:val="clear" w:color="auto" w:fill="auto"/>
            <w:vAlign w:val="center"/>
          </w:tcPr>
          <w:p w:rsidR="00B90EE1" w:rsidRDefault="00B90EE1">
            <w:pPr>
              <w:spacing w:beforeLines="20" w:before="48" w:afterLines="20" w:after="48"/>
              <w:jc w:val="center"/>
              <w:rPr>
                <w:noProof/>
                <w:sz w:val="16"/>
                <w:szCs w:val="16"/>
              </w:rPr>
            </w:pPr>
          </w:p>
        </w:tc>
        <w:tc>
          <w:tcPr>
            <w:tcW w:w="115" w:type="pct"/>
            <w:shd w:val="clear" w:color="auto" w:fill="auto"/>
            <w:vAlign w:val="center"/>
          </w:tcPr>
          <w:p w:rsidR="00B90EE1" w:rsidRDefault="00B90EE1">
            <w:pPr>
              <w:spacing w:beforeLines="20" w:before="48" w:afterLines="20" w:after="48"/>
              <w:jc w:val="center"/>
              <w:rPr>
                <w:noProof/>
                <w:sz w:val="16"/>
                <w:szCs w:val="16"/>
              </w:rPr>
            </w:pPr>
          </w:p>
        </w:tc>
        <w:tc>
          <w:tcPr>
            <w:tcW w:w="115" w:type="pct"/>
            <w:shd w:val="clear" w:color="auto" w:fill="auto"/>
            <w:vAlign w:val="center"/>
          </w:tcPr>
          <w:p w:rsidR="00B90EE1" w:rsidRDefault="00B90EE1">
            <w:pPr>
              <w:spacing w:beforeLines="20" w:before="48" w:afterLines="20" w:after="48"/>
              <w:jc w:val="center"/>
              <w:rPr>
                <w:noProof/>
                <w:sz w:val="16"/>
                <w:szCs w:val="16"/>
              </w:rPr>
            </w:pPr>
          </w:p>
        </w:tc>
      </w:tr>
      <w:tr w:rsidR="00B90EE1">
        <w:trPr>
          <w:gridBefore w:val="1"/>
          <w:wBefore w:w="6" w:type="pct"/>
          <w:trHeight w:val="289"/>
          <w:jc w:val="center"/>
        </w:trPr>
        <w:tc>
          <w:tcPr>
            <w:tcW w:w="1897" w:type="pct"/>
            <w:gridSpan w:val="2"/>
            <w:shd w:val="clear" w:color="auto" w:fill="auto"/>
            <w:vAlign w:val="center"/>
          </w:tcPr>
          <w:p w:rsidR="00B90EE1" w:rsidRDefault="003A231F">
            <w:pPr>
              <w:pStyle w:val="Text1"/>
              <w:spacing w:beforeLines="20" w:before="48" w:afterLines="20" w:after="48"/>
              <w:ind w:left="134"/>
              <w:jc w:val="left"/>
              <w:rPr>
                <w:b/>
                <w:noProof/>
                <w:sz w:val="16"/>
                <w:szCs w:val="16"/>
              </w:rPr>
            </w:pPr>
            <w:r>
              <w:rPr>
                <w:noProof/>
                <w:sz w:val="16"/>
              </w:rPr>
              <w:t xml:space="preserve">08 01 01 01 (ústredie </w:t>
            </w:r>
            <w:r>
              <w:rPr>
                <w:noProof/>
                <w:sz w:val="16"/>
              </w:rPr>
              <w:t>a zastúpenia Komisie)</w:t>
            </w:r>
          </w:p>
        </w:tc>
        <w:tc>
          <w:tcPr>
            <w:tcW w:w="318" w:type="pct"/>
            <w:shd w:val="clear" w:color="auto" w:fill="auto"/>
            <w:vAlign w:val="center"/>
          </w:tcPr>
          <w:p w:rsidR="00B90EE1" w:rsidRDefault="003A231F">
            <w:pPr>
              <w:spacing w:beforeLines="20" w:before="48" w:afterLines="20" w:after="48"/>
              <w:jc w:val="center"/>
              <w:rPr>
                <w:noProof/>
                <w:sz w:val="16"/>
                <w:szCs w:val="16"/>
              </w:rPr>
            </w:pPr>
            <w:r>
              <w:rPr>
                <w:noProof/>
                <w:sz w:val="16"/>
              </w:rPr>
              <w:t>2</w:t>
            </w:r>
          </w:p>
        </w:tc>
        <w:tc>
          <w:tcPr>
            <w:tcW w:w="318" w:type="pct"/>
            <w:shd w:val="clear" w:color="auto" w:fill="auto"/>
            <w:vAlign w:val="center"/>
          </w:tcPr>
          <w:p w:rsidR="00B90EE1" w:rsidRDefault="003A231F">
            <w:pPr>
              <w:spacing w:beforeLines="20" w:before="48" w:afterLines="20" w:after="48"/>
              <w:jc w:val="center"/>
              <w:rPr>
                <w:noProof/>
                <w:sz w:val="16"/>
                <w:szCs w:val="16"/>
              </w:rPr>
            </w:pPr>
            <w:r>
              <w:rPr>
                <w:noProof/>
                <w:sz w:val="16"/>
              </w:rPr>
              <w:t>2</w:t>
            </w:r>
          </w:p>
        </w:tc>
        <w:tc>
          <w:tcPr>
            <w:tcW w:w="1891" w:type="pct"/>
            <w:shd w:val="clear" w:color="auto" w:fill="auto"/>
            <w:vAlign w:val="center"/>
          </w:tcPr>
          <w:p w:rsidR="00B90EE1" w:rsidRDefault="003A231F">
            <w:pPr>
              <w:spacing w:beforeLines="20" w:before="48" w:afterLines="20" w:after="48"/>
              <w:jc w:val="center"/>
              <w:rPr>
                <w:noProof/>
                <w:sz w:val="16"/>
                <w:szCs w:val="16"/>
              </w:rPr>
            </w:pPr>
            <w:r>
              <w:rPr>
                <w:noProof/>
                <w:sz w:val="16"/>
              </w:rPr>
              <w:t>2</w:t>
            </w:r>
          </w:p>
        </w:tc>
        <w:tc>
          <w:tcPr>
            <w:tcW w:w="226" w:type="pct"/>
            <w:shd w:val="clear" w:color="auto" w:fill="auto"/>
            <w:vAlign w:val="center"/>
          </w:tcPr>
          <w:p w:rsidR="00B90EE1" w:rsidRDefault="003A231F">
            <w:pPr>
              <w:spacing w:beforeLines="20" w:before="48" w:afterLines="20" w:after="48"/>
              <w:jc w:val="center"/>
              <w:rPr>
                <w:noProof/>
                <w:sz w:val="16"/>
                <w:szCs w:val="16"/>
              </w:rPr>
            </w:pPr>
            <w:r>
              <w:rPr>
                <w:noProof/>
                <w:sz w:val="16"/>
              </w:rPr>
              <w:t>2</w:t>
            </w:r>
          </w:p>
        </w:tc>
        <w:tc>
          <w:tcPr>
            <w:tcW w:w="115" w:type="pct"/>
            <w:shd w:val="clear" w:color="auto" w:fill="auto"/>
            <w:vAlign w:val="center"/>
          </w:tcPr>
          <w:p w:rsidR="00B90EE1" w:rsidRDefault="00B90EE1">
            <w:pPr>
              <w:spacing w:beforeLines="20" w:before="48" w:afterLines="20" w:after="48"/>
              <w:jc w:val="center"/>
              <w:rPr>
                <w:noProof/>
                <w:sz w:val="16"/>
                <w:szCs w:val="16"/>
              </w:rPr>
            </w:pPr>
          </w:p>
        </w:tc>
        <w:tc>
          <w:tcPr>
            <w:tcW w:w="115" w:type="pct"/>
            <w:shd w:val="clear" w:color="auto" w:fill="auto"/>
            <w:vAlign w:val="center"/>
          </w:tcPr>
          <w:p w:rsidR="00B90EE1" w:rsidRDefault="00B90EE1">
            <w:pPr>
              <w:spacing w:beforeLines="20" w:before="48" w:afterLines="20" w:after="48"/>
              <w:jc w:val="center"/>
              <w:rPr>
                <w:noProof/>
                <w:sz w:val="16"/>
                <w:szCs w:val="16"/>
              </w:rPr>
            </w:pPr>
          </w:p>
        </w:tc>
        <w:tc>
          <w:tcPr>
            <w:tcW w:w="115" w:type="pct"/>
            <w:shd w:val="clear" w:color="auto" w:fill="auto"/>
            <w:vAlign w:val="center"/>
          </w:tcPr>
          <w:p w:rsidR="00B90EE1" w:rsidRDefault="00B90EE1">
            <w:pPr>
              <w:spacing w:beforeLines="20" w:before="48" w:afterLines="20" w:after="48"/>
              <w:jc w:val="center"/>
              <w:rPr>
                <w:noProof/>
                <w:sz w:val="16"/>
                <w:szCs w:val="16"/>
              </w:rPr>
            </w:pPr>
          </w:p>
        </w:tc>
      </w:tr>
      <w:tr w:rsidR="00B90EE1">
        <w:trPr>
          <w:gridBefore w:val="1"/>
          <w:wBefore w:w="6" w:type="pct"/>
          <w:trHeight w:val="289"/>
          <w:jc w:val="center"/>
        </w:trPr>
        <w:tc>
          <w:tcPr>
            <w:tcW w:w="1897" w:type="pct"/>
            <w:gridSpan w:val="2"/>
            <w:shd w:val="clear" w:color="auto" w:fill="auto"/>
            <w:vAlign w:val="center"/>
          </w:tcPr>
          <w:p w:rsidR="00B90EE1" w:rsidRDefault="003A231F">
            <w:pPr>
              <w:pStyle w:val="Text1"/>
              <w:spacing w:beforeLines="20" w:before="48" w:afterLines="20" w:after="48"/>
              <w:ind w:left="134"/>
              <w:jc w:val="left"/>
              <w:rPr>
                <w:b/>
                <w:noProof/>
                <w:sz w:val="16"/>
                <w:szCs w:val="16"/>
              </w:rPr>
            </w:pPr>
            <w:r>
              <w:rPr>
                <w:noProof/>
                <w:sz w:val="16"/>
              </w:rPr>
              <w:t>09 01 01 01 (ústredie a zastúpenia Komisie)</w:t>
            </w:r>
          </w:p>
        </w:tc>
        <w:tc>
          <w:tcPr>
            <w:tcW w:w="318" w:type="pct"/>
            <w:shd w:val="clear" w:color="auto" w:fill="auto"/>
            <w:vAlign w:val="center"/>
          </w:tcPr>
          <w:p w:rsidR="00B90EE1" w:rsidRDefault="003A231F">
            <w:pPr>
              <w:spacing w:beforeLines="20" w:before="48" w:afterLines="20" w:after="48"/>
              <w:jc w:val="center"/>
              <w:rPr>
                <w:noProof/>
                <w:sz w:val="16"/>
                <w:szCs w:val="16"/>
              </w:rPr>
            </w:pPr>
            <w:r>
              <w:rPr>
                <w:noProof/>
                <w:sz w:val="16"/>
              </w:rPr>
              <w:t>2</w:t>
            </w:r>
          </w:p>
        </w:tc>
        <w:tc>
          <w:tcPr>
            <w:tcW w:w="318" w:type="pct"/>
            <w:shd w:val="clear" w:color="auto" w:fill="auto"/>
            <w:vAlign w:val="center"/>
          </w:tcPr>
          <w:p w:rsidR="00B90EE1" w:rsidRDefault="003A231F">
            <w:pPr>
              <w:spacing w:beforeLines="20" w:before="48" w:afterLines="20" w:after="48"/>
              <w:jc w:val="center"/>
              <w:rPr>
                <w:noProof/>
                <w:sz w:val="16"/>
                <w:szCs w:val="16"/>
              </w:rPr>
            </w:pPr>
            <w:r>
              <w:rPr>
                <w:noProof/>
                <w:sz w:val="16"/>
              </w:rPr>
              <w:t>2</w:t>
            </w:r>
          </w:p>
        </w:tc>
        <w:tc>
          <w:tcPr>
            <w:tcW w:w="1891" w:type="pct"/>
            <w:shd w:val="clear" w:color="auto" w:fill="auto"/>
            <w:vAlign w:val="center"/>
          </w:tcPr>
          <w:p w:rsidR="00B90EE1" w:rsidRDefault="003A231F">
            <w:pPr>
              <w:spacing w:beforeLines="20" w:before="48" w:afterLines="20" w:after="48"/>
              <w:jc w:val="center"/>
              <w:rPr>
                <w:noProof/>
                <w:sz w:val="16"/>
                <w:szCs w:val="16"/>
              </w:rPr>
            </w:pPr>
            <w:r>
              <w:rPr>
                <w:noProof/>
                <w:sz w:val="16"/>
              </w:rPr>
              <w:t>2</w:t>
            </w:r>
          </w:p>
        </w:tc>
        <w:tc>
          <w:tcPr>
            <w:tcW w:w="226" w:type="pct"/>
            <w:shd w:val="clear" w:color="auto" w:fill="auto"/>
            <w:vAlign w:val="center"/>
          </w:tcPr>
          <w:p w:rsidR="00B90EE1" w:rsidRDefault="003A231F">
            <w:pPr>
              <w:spacing w:beforeLines="20" w:before="48" w:afterLines="20" w:after="48"/>
              <w:jc w:val="center"/>
              <w:rPr>
                <w:noProof/>
                <w:sz w:val="16"/>
                <w:szCs w:val="16"/>
              </w:rPr>
            </w:pPr>
            <w:r>
              <w:rPr>
                <w:noProof/>
                <w:sz w:val="16"/>
              </w:rPr>
              <w:t>2</w:t>
            </w:r>
          </w:p>
        </w:tc>
        <w:tc>
          <w:tcPr>
            <w:tcW w:w="115" w:type="pct"/>
            <w:shd w:val="clear" w:color="auto" w:fill="auto"/>
            <w:vAlign w:val="center"/>
          </w:tcPr>
          <w:p w:rsidR="00B90EE1" w:rsidRDefault="00B90EE1">
            <w:pPr>
              <w:spacing w:beforeLines="20" w:before="48" w:afterLines="20" w:after="48"/>
              <w:jc w:val="center"/>
              <w:rPr>
                <w:noProof/>
                <w:sz w:val="16"/>
                <w:szCs w:val="16"/>
              </w:rPr>
            </w:pPr>
          </w:p>
        </w:tc>
        <w:tc>
          <w:tcPr>
            <w:tcW w:w="115" w:type="pct"/>
            <w:shd w:val="clear" w:color="auto" w:fill="auto"/>
            <w:vAlign w:val="center"/>
          </w:tcPr>
          <w:p w:rsidR="00B90EE1" w:rsidRDefault="00B90EE1">
            <w:pPr>
              <w:spacing w:beforeLines="20" w:before="48" w:afterLines="20" w:after="48"/>
              <w:jc w:val="center"/>
              <w:rPr>
                <w:noProof/>
                <w:sz w:val="16"/>
                <w:szCs w:val="16"/>
              </w:rPr>
            </w:pPr>
          </w:p>
        </w:tc>
        <w:tc>
          <w:tcPr>
            <w:tcW w:w="115" w:type="pct"/>
            <w:shd w:val="clear" w:color="auto" w:fill="auto"/>
            <w:vAlign w:val="center"/>
          </w:tcPr>
          <w:p w:rsidR="00B90EE1" w:rsidRDefault="00B90EE1">
            <w:pPr>
              <w:spacing w:beforeLines="20" w:before="48" w:afterLines="20" w:after="48"/>
              <w:jc w:val="center"/>
              <w:rPr>
                <w:noProof/>
                <w:sz w:val="16"/>
                <w:szCs w:val="16"/>
              </w:rPr>
            </w:pPr>
          </w:p>
        </w:tc>
      </w:tr>
      <w:tr w:rsidR="00B90EE1">
        <w:trPr>
          <w:gridBefore w:val="1"/>
          <w:wBefore w:w="6" w:type="pct"/>
          <w:trHeight w:val="289"/>
          <w:jc w:val="center"/>
        </w:trPr>
        <w:tc>
          <w:tcPr>
            <w:tcW w:w="1897" w:type="pct"/>
            <w:gridSpan w:val="2"/>
            <w:shd w:val="clear" w:color="auto" w:fill="auto"/>
            <w:vAlign w:val="center"/>
          </w:tcPr>
          <w:p w:rsidR="00B90EE1" w:rsidRDefault="003A231F">
            <w:pPr>
              <w:pStyle w:val="Text1"/>
              <w:spacing w:beforeLines="20" w:before="48" w:afterLines="20" w:after="48"/>
              <w:ind w:left="134"/>
              <w:jc w:val="left"/>
              <w:rPr>
                <w:b/>
                <w:noProof/>
                <w:sz w:val="16"/>
                <w:szCs w:val="16"/>
              </w:rPr>
            </w:pPr>
            <w:r>
              <w:rPr>
                <w:noProof/>
                <w:sz w:val="16"/>
              </w:rPr>
              <w:t>12 01 01 01 (ústredie a zastúpenia Komisie)</w:t>
            </w:r>
          </w:p>
        </w:tc>
        <w:tc>
          <w:tcPr>
            <w:tcW w:w="318" w:type="pct"/>
            <w:shd w:val="clear" w:color="auto" w:fill="auto"/>
            <w:vAlign w:val="center"/>
          </w:tcPr>
          <w:p w:rsidR="00B90EE1" w:rsidRDefault="003A231F">
            <w:pPr>
              <w:spacing w:beforeLines="20" w:before="48" w:afterLines="20" w:after="48"/>
              <w:jc w:val="center"/>
              <w:rPr>
                <w:noProof/>
                <w:sz w:val="16"/>
                <w:szCs w:val="16"/>
              </w:rPr>
            </w:pPr>
            <w:r>
              <w:rPr>
                <w:noProof/>
                <w:sz w:val="16"/>
              </w:rPr>
              <w:t>2</w:t>
            </w:r>
          </w:p>
        </w:tc>
        <w:tc>
          <w:tcPr>
            <w:tcW w:w="318" w:type="pct"/>
            <w:shd w:val="clear" w:color="auto" w:fill="auto"/>
            <w:vAlign w:val="center"/>
          </w:tcPr>
          <w:p w:rsidR="00B90EE1" w:rsidRDefault="003A231F">
            <w:pPr>
              <w:spacing w:beforeLines="20" w:before="48" w:afterLines="20" w:after="48"/>
              <w:jc w:val="center"/>
              <w:rPr>
                <w:noProof/>
                <w:sz w:val="16"/>
                <w:szCs w:val="16"/>
              </w:rPr>
            </w:pPr>
            <w:r>
              <w:rPr>
                <w:noProof/>
                <w:sz w:val="16"/>
              </w:rPr>
              <w:t>2</w:t>
            </w:r>
          </w:p>
        </w:tc>
        <w:tc>
          <w:tcPr>
            <w:tcW w:w="1891" w:type="pct"/>
            <w:shd w:val="clear" w:color="auto" w:fill="auto"/>
            <w:vAlign w:val="center"/>
          </w:tcPr>
          <w:p w:rsidR="00B90EE1" w:rsidRDefault="003A231F">
            <w:pPr>
              <w:spacing w:beforeLines="20" w:before="48" w:afterLines="20" w:after="48"/>
              <w:jc w:val="center"/>
              <w:rPr>
                <w:noProof/>
                <w:sz w:val="16"/>
                <w:szCs w:val="16"/>
              </w:rPr>
            </w:pPr>
            <w:r>
              <w:rPr>
                <w:noProof/>
                <w:sz w:val="16"/>
              </w:rPr>
              <w:t>2</w:t>
            </w:r>
          </w:p>
        </w:tc>
        <w:tc>
          <w:tcPr>
            <w:tcW w:w="226" w:type="pct"/>
            <w:shd w:val="clear" w:color="auto" w:fill="auto"/>
            <w:vAlign w:val="center"/>
          </w:tcPr>
          <w:p w:rsidR="00B90EE1" w:rsidRDefault="003A231F">
            <w:pPr>
              <w:spacing w:beforeLines="20" w:before="48" w:afterLines="20" w:after="48"/>
              <w:jc w:val="center"/>
              <w:rPr>
                <w:noProof/>
                <w:sz w:val="16"/>
                <w:szCs w:val="16"/>
              </w:rPr>
            </w:pPr>
            <w:r>
              <w:rPr>
                <w:noProof/>
                <w:sz w:val="16"/>
              </w:rPr>
              <w:t>2</w:t>
            </w:r>
          </w:p>
        </w:tc>
        <w:tc>
          <w:tcPr>
            <w:tcW w:w="115" w:type="pct"/>
            <w:shd w:val="clear" w:color="auto" w:fill="auto"/>
            <w:vAlign w:val="center"/>
          </w:tcPr>
          <w:p w:rsidR="00B90EE1" w:rsidRDefault="00B90EE1">
            <w:pPr>
              <w:spacing w:beforeLines="20" w:before="48" w:afterLines="20" w:after="48"/>
              <w:jc w:val="center"/>
              <w:rPr>
                <w:noProof/>
                <w:sz w:val="16"/>
                <w:szCs w:val="16"/>
              </w:rPr>
            </w:pPr>
          </w:p>
        </w:tc>
        <w:tc>
          <w:tcPr>
            <w:tcW w:w="115" w:type="pct"/>
            <w:shd w:val="clear" w:color="auto" w:fill="auto"/>
            <w:vAlign w:val="center"/>
          </w:tcPr>
          <w:p w:rsidR="00B90EE1" w:rsidRDefault="00B90EE1">
            <w:pPr>
              <w:spacing w:beforeLines="20" w:before="48" w:afterLines="20" w:after="48"/>
              <w:jc w:val="center"/>
              <w:rPr>
                <w:noProof/>
                <w:sz w:val="16"/>
                <w:szCs w:val="16"/>
              </w:rPr>
            </w:pPr>
          </w:p>
        </w:tc>
        <w:tc>
          <w:tcPr>
            <w:tcW w:w="115" w:type="pct"/>
            <w:shd w:val="clear" w:color="auto" w:fill="auto"/>
            <w:vAlign w:val="center"/>
          </w:tcPr>
          <w:p w:rsidR="00B90EE1" w:rsidRDefault="00B90EE1">
            <w:pPr>
              <w:spacing w:beforeLines="20" w:before="48" w:afterLines="20" w:after="48"/>
              <w:jc w:val="center"/>
              <w:rPr>
                <w:noProof/>
                <w:sz w:val="16"/>
                <w:szCs w:val="16"/>
              </w:rPr>
            </w:pPr>
          </w:p>
        </w:tc>
      </w:tr>
      <w:tr w:rsidR="00B90EE1">
        <w:trPr>
          <w:gridBefore w:val="1"/>
          <w:wBefore w:w="6" w:type="pct"/>
          <w:trHeight w:val="289"/>
          <w:jc w:val="center"/>
        </w:trPr>
        <w:tc>
          <w:tcPr>
            <w:tcW w:w="1897" w:type="pct"/>
            <w:gridSpan w:val="2"/>
            <w:shd w:val="clear" w:color="auto" w:fill="auto"/>
            <w:vAlign w:val="center"/>
          </w:tcPr>
          <w:p w:rsidR="00B90EE1" w:rsidRDefault="003A231F">
            <w:pPr>
              <w:pStyle w:val="Text1"/>
              <w:spacing w:beforeLines="20" w:before="48" w:afterLines="20" w:after="48"/>
              <w:ind w:left="134"/>
              <w:jc w:val="left"/>
              <w:rPr>
                <w:b/>
                <w:noProof/>
                <w:sz w:val="16"/>
                <w:szCs w:val="16"/>
              </w:rPr>
            </w:pPr>
            <w:r>
              <w:rPr>
                <w:noProof/>
                <w:sz w:val="16"/>
              </w:rPr>
              <w:t>20 01 01 01 (ústredie a zastúpenia Komisie)</w:t>
            </w:r>
          </w:p>
        </w:tc>
        <w:tc>
          <w:tcPr>
            <w:tcW w:w="318" w:type="pct"/>
            <w:shd w:val="clear" w:color="auto" w:fill="auto"/>
            <w:vAlign w:val="center"/>
          </w:tcPr>
          <w:p w:rsidR="00B90EE1" w:rsidRDefault="003A231F">
            <w:pPr>
              <w:spacing w:beforeLines="20" w:before="48" w:afterLines="20" w:after="48"/>
              <w:jc w:val="center"/>
              <w:rPr>
                <w:noProof/>
                <w:sz w:val="16"/>
                <w:szCs w:val="16"/>
              </w:rPr>
            </w:pPr>
            <w:r>
              <w:rPr>
                <w:noProof/>
                <w:sz w:val="16"/>
              </w:rPr>
              <w:t>6</w:t>
            </w:r>
          </w:p>
        </w:tc>
        <w:tc>
          <w:tcPr>
            <w:tcW w:w="318" w:type="pct"/>
            <w:shd w:val="clear" w:color="auto" w:fill="auto"/>
            <w:vAlign w:val="center"/>
          </w:tcPr>
          <w:p w:rsidR="00B90EE1" w:rsidRDefault="003A231F">
            <w:pPr>
              <w:spacing w:beforeLines="20" w:before="48" w:afterLines="20" w:after="48"/>
              <w:jc w:val="center"/>
              <w:rPr>
                <w:noProof/>
                <w:sz w:val="16"/>
                <w:szCs w:val="16"/>
              </w:rPr>
            </w:pPr>
            <w:r>
              <w:rPr>
                <w:noProof/>
                <w:sz w:val="16"/>
              </w:rPr>
              <w:t>6</w:t>
            </w:r>
          </w:p>
        </w:tc>
        <w:tc>
          <w:tcPr>
            <w:tcW w:w="1891" w:type="pct"/>
            <w:shd w:val="clear" w:color="auto" w:fill="auto"/>
            <w:vAlign w:val="center"/>
          </w:tcPr>
          <w:p w:rsidR="00B90EE1" w:rsidRDefault="003A231F">
            <w:pPr>
              <w:spacing w:beforeLines="20" w:before="48" w:afterLines="20" w:after="48"/>
              <w:jc w:val="center"/>
              <w:rPr>
                <w:noProof/>
                <w:sz w:val="16"/>
                <w:szCs w:val="16"/>
              </w:rPr>
            </w:pPr>
            <w:r>
              <w:rPr>
                <w:noProof/>
                <w:sz w:val="16"/>
              </w:rPr>
              <w:t>6</w:t>
            </w:r>
          </w:p>
        </w:tc>
        <w:tc>
          <w:tcPr>
            <w:tcW w:w="226" w:type="pct"/>
            <w:shd w:val="clear" w:color="auto" w:fill="auto"/>
            <w:vAlign w:val="center"/>
          </w:tcPr>
          <w:p w:rsidR="00B90EE1" w:rsidRDefault="003A231F">
            <w:pPr>
              <w:spacing w:beforeLines="20" w:before="48" w:afterLines="20" w:after="48"/>
              <w:jc w:val="center"/>
              <w:rPr>
                <w:noProof/>
                <w:sz w:val="16"/>
                <w:szCs w:val="16"/>
              </w:rPr>
            </w:pPr>
            <w:r>
              <w:rPr>
                <w:noProof/>
                <w:sz w:val="16"/>
              </w:rPr>
              <w:t>6</w:t>
            </w:r>
          </w:p>
        </w:tc>
        <w:tc>
          <w:tcPr>
            <w:tcW w:w="115" w:type="pct"/>
            <w:shd w:val="clear" w:color="auto" w:fill="auto"/>
            <w:vAlign w:val="center"/>
          </w:tcPr>
          <w:p w:rsidR="00B90EE1" w:rsidRDefault="00B90EE1">
            <w:pPr>
              <w:spacing w:beforeLines="20" w:before="48" w:afterLines="20" w:after="48"/>
              <w:jc w:val="center"/>
              <w:rPr>
                <w:noProof/>
                <w:sz w:val="16"/>
                <w:szCs w:val="16"/>
              </w:rPr>
            </w:pPr>
          </w:p>
        </w:tc>
        <w:tc>
          <w:tcPr>
            <w:tcW w:w="115" w:type="pct"/>
            <w:shd w:val="clear" w:color="auto" w:fill="auto"/>
            <w:vAlign w:val="center"/>
          </w:tcPr>
          <w:p w:rsidR="00B90EE1" w:rsidRDefault="00B90EE1">
            <w:pPr>
              <w:spacing w:beforeLines="20" w:before="48" w:afterLines="20" w:after="48"/>
              <w:jc w:val="center"/>
              <w:rPr>
                <w:noProof/>
                <w:sz w:val="16"/>
                <w:szCs w:val="16"/>
              </w:rPr>
            </w:pPr>
          </w:p>
        </w:tc>
        <w:tc>
          <w:tcPr>
            <w:tcW w:w="115" w:type="pct"/>
            <w:shd w:val="clear" w:color="auto" w:fill="auto"/>
            <w:vAlign w:val="center"/>
          </w:tcPr>
          <w:p w:rsidR="00B90EE1" w:rsidRDefault="00B90EE1">
            <w:pPr>
              <w:spacing w:beforeLines="20" w:before="48" w:afterLines="20" w:after="48"/>
              <w:jc w:val="center"/>
              <w:rPr>
                <w:noProof/>
                <w:sz w:val="16"/>
                <w:szCs w:val="16"/>
              </w:rPr>
            </w:pPr>
          </w:p>
        </w:tc>
      </w:tr>
      <w:tr w:rsidR="00B90EE1">
        <w:trPr>
          <w:gridBefore w:val="1"/>
          <w:wBefore w:w="6" w:type="pct"/>
          <w:trHeight w:val="289"/>
          <w:jc w:val="center"/>
        </w:trPr>
        <w:tc>
          <w:tcPr>
            <w:tcW w:w="1897" w:type="pct"/>
            <w:gridSpan w:val="2"/>
            <w:shd w:val="clear" w:color="auto" w:fill="auto"/>
            <w:vAlign w:val="center"/>
          </w:tcPr>
          <w:p w:rsidR="00B90EE1" w:rsidRDefault="003A231F">
            <w:pPr>
              <w:pStyle w:val="Text1"/>
              <w:spacing w:beforeLines="20" w:before="48" w:afterLines="20" w:after="48"/>
              <w:ind w:left="134"/>
              <w:jc w:val="left"/>
              <w:rPr>
                <w:b/>
                <w:noProof/>
                <w:sz w:val="16"/>
                <w:szCs w:val="16"/>
              </w:rPr>
            </w:pPr>
            <w:r>
              <w:rPr>
                <w:noProof/>
                <w:sz w:val="16"/>
              </w:rPr>
              <w:t>25 01 01 01 (ústredie a zastúpenia Komisie)</w:t>
            </w:r>
          </w:p>
        </w:tc>
        <w:tc>
          <w:tcPr>
            <w:tcW w:w="318" w:type="pct"/>
            <w:shd w:val="clear" w:color="auto" w:fill="auto"/>
            <w:vAlign w:val="center"/>
          </w:tcPr>
          <w:p w:rsidR="00B90EE1" w:rsidRDefault="003A231F">
            <w:pPr>
              <w:spacing w:beforeLines="20" w:before="48" w:afterLines="20" w:after="48"/>
              <w:jc w:val="center"/>
              <w:rPr>
                <w:noProof/>
                <w:sz w:val="16"/>
                <w:szCs w:val="16"/>
              </w:rPr>
            </w:pPr>
            <w:r>
              <w:rPr>
                <w:noProof/>
                <w:sz w:val="16"/>
              </w:rPr>
              <w:t>1</w:t>
            </w:r>
          </w:p>
        </w:tc>
        <w:tc>
          <w:tcPr>
            <w:tcW w:w="318" w:type="pct"/>
            <w:shd w:val="clear" w:color="auto" w:fill="auto"/>
            <w:vAlign w:val="center"/>
          </w:tcPr>
          <w:p w:rsidR="00B90EE1" w:rsidRDefault="003A231F">
            <w:pPr>
              <w:spacing w:beforeLines="20" w:before="48" w:afterLines="20" w:after="48"/>
              <w:jc w:val="center"/>
              <w:rPr>
                <w:noProof/>
                <w:sz w:val="16"/>
                <w:szCs w:val="16"/>
              </w:rPr>
            </w:pPr>
            <w:r>
              <w:rPr>
                <w:noProof/>
                <w:sz w:val="16"/>
              </w:rPr>
              <w:t>1</w:t>
            </w:r>
          </w:p>
        </w:tc>
        <w:tc>
          <w:tcPr>
            <w:tcW w:w="1891" w:type="pct"/>
            <w:shd w:val="clear" w:color="auto" w:fill="auto"/>
            <w:vAlign w:val="center"/>
          </w:tcPr>
          <w:p w:rsidR="00B90EE1" w:rsidRDefault="003A231F">
            <w:pPr>
              <w:spacing w:beforeLines="20" w:before="48" w:afterLines="20" w:after="48"/>
              <w:jc w:val="center"/>
              <w:rPr>
                <w:noProof/>
                <w:sz w:val="16"/>
                <w:szCs w:val="16"/>
              </w:rPr>
            </w:pPr>
            <w:r>
              <w:rPr>
                <w:noProof/>
                <w:sz w:val="16"/>
              </w:rPr>
              <w:t>1</w:t>
            </w:r>
          </w:p>
        </w:tc>
        <w:tc>
          <w:tcPr>
            <w:tcW w:w="226" w:type="pct"/>
            <w:shd w:val="clear" w:color="auto" w:fill="auto"/>
            <w:vAlign w:val="center"/>
          </w:tcPr>
          <w:p w:rsidR="00B90EE1" w:rsidRDefault="003A231F">
            <w:pPr>
              <w:spacing w:beforeLines="20" w:before="48" w:afterLines="20" w:after="48"/>
              <w:jc w:val="center"/>
              <w:rPr>
                <w:noProof/>
                <w:sz w:val="16"/>
                <w:szCs w:val="16"/>
              </w:rPr>
            </w:pPr>
            <w:r>
              <w:rPr>
                <w:noProof/>
                <w:sz w:val="16"/>
              </w:rPr>
              <w:t>1</w:t>
            </w:r>
          </w:p>
        </w:tc>
        <w:tc>
          <w:tcPr>
            <w:tcW w:w="115" w:type="pct"/>
            <w:shd w:val="clear" w:color="auto" w:fill="auto"/>
            <w:vAlign w:val="center"/>
          </w:tcPr>
          <w:p w:rsidR="00B90EE1" w:rsidRDefault="00B90EE1">
            <w:pPr>
              <w:spacing w:beforeLines="20" w:before="48" w:afterLines="20" w:after="48"/>
              <w:jc w:val="center"/>
              <w:rPr>
                <w:noProof/>
                <w:sz w:val="16"/>
                <w:szCs w:val="16"/>
              </w:rPr>
            </w:pPr>
          </w:p>
        </w:tc>
        <w:tc>
          <w:tcPr>
            <w:tcW w:w="115" w:type="pct"/>
            <w:shd w:val="clear" w:color="auto" w:fill="auto"/>
            <w:vAlign w:val="center"/>
          </w:tcPr>
          <w:p w:rsidR="00B90EE1" w:rsidRDefault="00B90EE1">
            <w:pPr>
              <w:spacing w:beforeLines="20" w:before="48" w:afterLines="20" w:after="48"/>
              <w:jc w:val="center"/>
              <w:rPr>
                <w:noProof/>
                <w:sz w:val="16"/>
                <w:szCs w:val="16"/>
              </w:rPr>
            </w:pPr>
          </w:p>
        </w:tc>
        <w:tc>
          <w:tcPr>
            <w:tcW w:w="115" w:type="pct"/>
            <w:shd w:val="clear" w:color="auto" w:fill="auto"/>
            <w:vAlign w:val="center"/>
          </w:tcPr>
          <w:p w:rsidR="00B90EE1" w:rsidRDefault="00B90EE1">
            <w:pPr>
              <w:spacing w:beforeLines="20" w:before="48" w:afterLines="20" w:after="48"/>
              <w:jc w:val="center"/>
              <w:rPr>
                <w:noProof/>
                <w:sz w:val="16"/>
                <w:szCs w:val="16"/>
              </w:rPr>
            </w:pPr>
          </w:p>
        </w:tc>
      </w:tr>
      <w:tr w:rsidR="00B90EE1">
        <w:trPr>
          <w:gridBefore w:val="1"/>
          <w:wBefore w:w="6" w:type="pct"/>
          <w:trHeight w:val="289"/>
          <w:jc w:val="center"/>
        </w:trPr>
        <w:tc>
          <w:tcPr>
            <w:tcW w:w="1897" w:type="pct"/>
            <w:gridSpan w:val="2"/>
            <w:shd w:val="clear" w:color="auto" w:fill="auto"/>
            <w:vAlign w:val="center"/>
          </w:tcPr>
          <w:p w:rsidR="00B90EE1" w:rsidRDefault="003A231F">
            <w:pPr>
              <w:pStyle w:val="Text1"/>
              <w:spacing w:beforeLines="20" w:before="48" w:afterLines="20" w:after="48"/>
              <w:ind w:left="134"/>
              <w:jc w:val="left"/>
              <w:rPr>
                <w:b/>
                <w:noProof/>
                <w:sz w:val="16"/>
                <w:szCs w:val="16"/>
              </w:rPr>
            </w:pPr>
            <w:r>
              <w:rPr>
                <w:noProof/>
                <w:sz w:val="16"/>
              </w:rPr>
              <w:t>32 01 01 01 (ústredie a zastúpenia Komisie)</w:t>
            </w:r>
          </w:p>
        </w:tc>
        <w:tc>
          <w:tcPr>
            <w:tcW w:w="318" w:type="pct"/>
            <w:shd w:val="clear" w:color="auto" w:fill="auto"/>
            <w:vAlign w:val="center"/>
          </w:tcPr>
          <w:p w:rsidR="00B90EE1" w:rsidRDefault="003A231F">
            <w:pPr>
              <w:spacing w:beforeLines="20" w:before="48" w:afterLines="20" w:after="48"/>
              <w:jc w:val="center"/>
              <w:rPr>
                <w:noProof/>
                <w:sz w:val="16"/>
                <w:szCs w:val="16"/>
              </w:rPr>
            </w:pPr>
            <w:r>
              <w:rPr>
                <w:noProof/>
                <w:sz w:val="16"/>
              </w:rPr>
              <w:t>2</w:t>
            </w:r>
          </w:p>
        </w:tc>
        <w:tc>
          <w:tcPr>
            <w:tcW w:w="318" w:type="pct"/>
            <w:shd w:val="clear" w:color="auto" w:fill="auto"/>
            <w:vAlign w:val="center"/>
          </w:tcPr>
          <w:p w:rsidR="00B90EE1" w:rsidRDefault="003A231F">
            <w:pPr>
              <w:spacing w:beforeLines="20" w:before="48" w:afterLines="20" w:after="48"/>
              <w:jc w:val="center"/>
              <w:rPr>
                <w:noProof/>
                <w:sz w:val="16"/>
                <w:szCs w:val="16"/>
              </w:rPr>
            </w:pPr>
            <w:r>
              <w:rPr>
                <w:noProof/>
                <w:sz w:val="16"/>
              </w:rPr>
              <w:t>2</w:t>
            </w:r>
          </w:p>
        </w:tc>
        <w:tc>
          <w:tcPr>
            <w:tcW w:w="1891" w:type="pct"/>
            <w:shd w:val="clear" w:color="auto" w:fill="auto"/>
            <w:vAlign w:val="center"/>
          </w:tcPr>
          <w:p w:rsidR="00B90EE1" w:rsidRDefault="003A231F">
            <w:pPr>
              <w:spacing w:beforeLines="20" w:before="48" w:afterLines="20" w:after="48"/>
              <w:jc w:val="center"/>
              <w:rPr>
                <w:noProof/>
                <w:sz w:val="16"/>
                <w:szCs w:val="16"/>
              </w:rPr>
            </w:pPr>
            <w:r>
              <w:rPr>
                <w:noProof/>
                <w:sz w:val="16"/>
              </w:rPr>
              <w:t>2</w:t>
            </w:r>
          </w:p>
        </w:tc>
        <w:tc>
          <w:tcPr>
            <w:tcW w:w="226" w:type="pct"/>
            <w:shd w:val="clear" w:color="auto" w:fill="auto"/>
            <w:vAlign w:val="center"/>
          </w:tcPr>
          <w:p w:rsidR="00B90EE1" w:rsidRDefault="003A231F">
            <w:pPr>
              <w:spacing w:beforeLines="20" w:before="48" w:afterLines="20" w:after="48"/>
              <w:jc w:val="center"/>
              <w:rPr>
                <w:noProof/>
                <w:sz w:val="16"/>
                <w:szCs w:val="16"/>
              </w:rPr>
            </w:pPr>
            <w:r>
              <w:rPr>
                <w:noProof/>
                <w:sz w:val="16"/>
              </w:rPr>
              <w:t>2</w:t>
            </w:r>
          </w:p>
        </w:tc>
        <w:tc>
          <w:tcPr>
            <w:tcW w:w="115" w:type="pct"/>
            <w:shd w:val="clear" w:color="auto" w:fill="auto"/>
            <w:vAlign w:val="center"/>
          </w:tcPr>
          <w:p w:rsidR="00B90EE1" w:rsidRDefault="00B90EE1">
            <w:pPr>
              <w:spacing w:beforeLines="20" w:before="48" w:afterLines="20" w:after="48"/>
              <w:jc w:val="center"/>
              <w:rPr>
                <w:noProof/>
                <w:sz w:val="16"/>
                <w:szCs w:val="16"/>
              </w:rPr>
            </w:pPr>
          </w:p>
        </w:tc>
        <w:tc>
          <w:tcPr>
            <w:tcW w:w="115" w:type="pct"/>
            <w:shd w:val="clear" w:color="auto" w:fill="auto"/>
            <w:vAlign w:val="center"/>
          </w:tcPr>
          <w:p w:rsidR="00B90EE1" w:rsidRDefault="00B90EE1">
            <w:pPr>
              <w:spacing w:beforeLines="20" w:before="48" w:afterLines="20" w:after="48"/>
              <w:jc w:val="center"/>
              <w:rPr>
                <w:noProof/>
                <w:sz w:val="16"/>
                <w:szCs w:val="16"/>
              </w:rPr>
            </w:pPr>
          </w:p>
        </w:tc>
        <w:tc>
          <w:tcPr>
            <w:tcW w:w="115" w:type="pct"/>
            <w:shd w:val="clear" w:color="auto" w:fill="auto"/>
            <w:vAlign w:val="center"/>
          </w:tcPr>
          <w:p w:rsidR="00B90EE1" w:rsidRDefault="00B90EE1">
            <w:pPr>
              <w:spacing w:beforeLines="20" w:before="48" w:afterLines="20" w:after="48"/>
              <w:jc w:val="center"/>
              <w:rPr>
                <w:noProof/>
                <w:sz w:val="16"/>
                <w:szCs w:val="16"/>
              </w:rPr>
            </w:pPr>
          </w:p>
        </w:tc>
      </w:tr>
      <w:tr w:rsidR="00B90EE1">
        <w:trPr>
          <w:gridBefore w:val="1"/>
          <w:wBefore w:w="6" w:type="pct"/>
          <w:trHeight w:val="289"/>
          <w:jc w:val="center"/>
        </w:trPr>
        <w:tc>
          <w:tcPr>
            <w:tcW w:w="1897" w:type="pct"/>
            <w:gridSpan w:val="2"/>
            <w:shd w:val="clear" w:color="auto" w:fill="auto"/>
            <w:vAlign w:val="center"/>
          </w:tcPr>
          <w:p w:rsidR="00B90EE1" w:rsidRDefault="003A231F">
            <w:pPr>
              <w:pStyle w:val="Text1"/>
              <w:spacing w:beforeLines="20" w:before="48" w:afterLines="20" w:after="48"/>
              <w:ind w:left="134"/>
              <w:jc w:val="left"/>
              <w:rPr>
                <w:noProof/>
                <w:sz w:val="16"/>
                <w:szCs w:val="16"/>
              </w:rPr>
            </w:pPr>
            <w:r>
              <w:rPr>
                <w:noProof/>
                <w:sz w:val="16"/>
              </w:rPr>
              <w:t>20 01 01 02 (delegácie)</w:t>
            </w:r>
          </w:p>
        </w:tc>
        <w:tc>
          <w:tcPr>
            <w:tcW w:w="318" w:type="pct"/>
            <w:shd w:val="clear" w:color="auto" w:fill="auto"/>
            <w:vAlign w:val="center"/>
          </w:tcPr>
          <w:p w:rsidR="00B90EE1" w:rsidRDefault="003A231F">
            <w:pPr>
              <w:spacing w:beforeLines="20" w:before="48" w:afterLines="20" w:after="48"/>
              <w:jc w:val="center"/>
              <w:rPr>
                <w:noProof/>
                <w:sz w:val="16"/>
                <w:szCs w:val="16"/>
              </w:rPr>
            </w:pPr>
            <w:r>
              <w:rPr>
                <w:noProof/>
                <w:sz w:val="16"/>
              </w:rPr>
              <w:t>1</w:t>
            </w:r>
          </w:p>
        </w:tc>
        <w:tc>
          <w:tcPr>
            <w:tcW w:w="318" w:type="pct"/>
            <w:shd w:val="clear" w:color="auto" w:fill="auto"/>
            <w:vAlign w:val="center"/>
          </w:tcPr>
          <w:p w:rsidR="00B90EE1" w:rsidRDefault="003A231F">
            <w:pPr>
              <w:spacing w:beforeLines="20" w:before="48" w:afterLines="20" w:after="48"/>
              <w:jc w:val="center"/>
              <w:rPr>
                <w:noProof/>
                <w:sz w:val="16"/>
                <w:szCs w:val="16"/>
              </w:rPr>
            </w:pPr>
            <w:r>
              <w:rPr>
                <w:noProof/>
                <w:sz w:val="16"/>
              </w:rPr>
              <w:t>1</w:t>
            </w:r>
          </w:p>
        </w:tc>
        <w:tc>
          <w:tcPr>
            <w:tcW w:w="1891" w:type="pct"/>
            <w:shd w:val="clear" w:color="auto" w:fill="auto"/>
            <w:vAlign w:val="center"/>
          </w:tcPr>
          <w:p w:rsidR="00B90EE1" w:rsidRDefault="003A231F">
            <w:pPr>
              <w:spacing w:beforeLines="20" w:before="48" w:afterLines="20" w:after="48"/>
              <w:jc w:val="center"/>
              <w:rPr>
                <w:noProof/>
                <w:sz w:val="16"/>
                <w:szCs w:val="16"/>
              </w:rPr>
            </w:pPr>
            <w:r>
              <w:rPr>
                <w:noProof/>
                <w:sz w:val="16"/>
              </w:rPr>
              <w:t>1</w:t>
            </w:r>
          </w:p>
        </w:tc>
        <w:tc>
          <w:tcPr>
            <w:tcW w:w="226" w:type="pct"/>
            <w:shd w:val="clear" w:color="auto" w:fill="auto"/>
            <w:vAlign w:val="center"/>
          </w:tcPr>
          <w:p w:rsidR="00B90EE1" w:rsidRDefault="003A231F">
            <w:pPr>
              <w:spacing w:beforeLines="20" w:before="48" w:afterLines="20" w:after="48"/>
              <w:jc w:val="center"/>
              <w:rPr>
                <w:noProof/>
                <w:sz w:val="16"/>
                <w:szCs w:val="16"/>
              </w:rPr>
            </w:pPr>
            <w:r>
              <w:rPr>
                <w:noProof/>
                <w:sz w:val="16"/>
              </w:rPr>
              <w:t>1</w:t>
            </w:r>
          </w:p>
        </w:tc>
        <w:tc>
          <w:tcPr>
            <w:tcW w:w="115" w:type="pct"/>
            <w:shd w:val="clear" w:color="auto" w:fill="auto"/>
            <w:vAlign w:val="center"/>
          </w:tcPr>
          <w:p w:rsidR="00B90EE1" w:rsidRDefault="00B90EE1">
            <w:pPr>
              <w:spacing w:beforeLines="20" w:before="48" w:afterLines="20" w:after="48"/>
              <w:jc w:val="center"/>
              <w:rPr>
                <w:noProof/>
                <w:sz w:val="16"/>
                <w:szCs w:val="16"/>
              </w:rPr>
            </w:pPr>
          </w:p>
        </w:tc>
        <w:tc>
          <w:tcPr>
            <w:tcW w:w="115" w:type="pct"/>
            <w:shd w:val="clear" w:color="auto" w:fill="auto"/>
            <w:vAlign w:val="center"/>
          </w:tcPr>
          <w:p w:rsidR="00B90EE1" w:rsidRDefault="00B90EE1">
            <w:pPr>
              <w:spacing w:beforeLines="20" w:before="48" w:afterLines="20" w:after="48"/>
              <w:jc w:val="center"/>
              <w:rPr>
                <w:noProof/>
                <w:sz w:val="16"/>
                <w:szCs w:val="16"/>
              </w:rPr>
            </w:pPr>
          </w:p>
        </w:tc>
        <w:tc>
          <w:tcPr>
            <w:tcW w:w="115" w:type="pct"/>
            <w:shd w:val="clear" w:color="auto" w:fill="auto"/>
            <w:vAlign w:val="center"/>
          </w:tcPr>
          <w:p w:rsidR="00B90EE1" w:rsidRDefault="00B90EE1">
            <w:pPr>
              <w:spacing w:beforeLines="20" w:before="48" w:afterLines="20" w:after="48"/>
              <w:jc w:val="center"/>
              <w:rPr>
                <w:noProof/>
                <w:sz w:val="16"/>
                <w:szCs w:val="16"/>
              </w:rPr>
            </w:pPr>
          </w:p>
        </w:tc>
      </w:tr>
      <w:tr w:rsidR="00B90EE1">
        <w:trPr>
          <w:gridBefore w:val="1"/>
          <w:wBefore w:w="6" w:type="pct"/>
          <w:trHeight w:val="289"/>
          <w:jc w:val="center"/>
        </w:trPr>
        <w:tc>
          <w:tcPr>
            <w:tcW w:w="1897" w:type="pct"/>
            <w:gridSpan w:val="2"/>
            <w:shd w:val="clear" w:color="auto" w:fill="auto"/>
            <w:vAlign w:val="center"/>
          </w:tcPr>
          <w:p w:rsidR="00B90EE1" w:rsidRDefault="003A231F">
            <w:pPr>
              <w:pStyle w:val="Text1"/>
              <w:spacing w:beforeLines="20" w:before="48" w:afterLines="20" w:after="48"/>
              <w:ind w:left="134"/>
              <w:jc w:val="left"/>
              <w:rPr>
                <w:noProof/>
                <w:sz w:val="16"/>
                <w:szCs w:val="16"/>
              </w:rPr>
            </w:pPr>
            <w:r>
              <w:rPr>
                <w:noProof/>
                <w:sz w:val="16"/>
              </w:rPr>
              <w:t>XX 01 05 01 (nepriamy výskum)</w:t>
            </w:r>
          </w:p>
        </w:tc>
        <w:tc>
          <w:tcPr>
            <w:tcW w:w="318" w:type="pct"/>
            <w:shd w:val="clear" w:color="auto" w:fill="auto"/>
            <w:vAlign w:val="center"/>
          </w:tcPr>
          <w:p w:rsidR="00B90EE1" w:rsidRDefault="00B90EE1">
            <w:pPr>
              <w:spacing w:beforeLines="20" w:before="48" w:afterLines="20" w:after="48"/>
              <w:jc w:val="center"/>
              <w:rPr>
                <w:noProof/>
                <w:sz w:val="16"/>
                <w:szCs w:val="16"/>
              </w:rPr>
            </w:pPr>
          </w:p>
        </w:tc>
        <w:tc>
          <w:tcPr>
            <w:tcW w:w="318" w:type="pct"/>
            <w:shd w:val="clear" w:color="auto" w:fill="auto"/>
            <w:vAlign w:val="center"/>
          </w:tcPr>
          <w:p w:rsidR="00B90EE1" w:rsidRDefault="00B90EE1">
            <w:pPr>
              <w:spacing w:beforeLines="20" w:before="48" w:afterLines="20" w:after="48"/>
              <w:jc w:val="center"/>
              <w:rPr>
                <w:noProof/>
                <w:sz w:val="16"/>
                <w:szCs w:val="16"/>
              </w:rPr>
            </w:pPr>
          </w:p>
        </w:tc>
        <w:tc>
          <w:tcPr>
            <w:tcW w:w="1891" w:type="pct"/>
            <w:shd w:val="clear" w:color="auto" w:fill="auto"/>
            <w:vAlign w:val="center"/>
          </w:tcPr>
          <w:p w:rsidR="00B90EE1" w:rsidRDefault="00B90EE1">
            <w:pPr>
              <w:spacing w:beforeLines="20" w:before="48" w:afterLines="20" w:after="48"/>
              <w:jc w:val="center"/>
              <w:rPr>
                <w:noProof/>
                <w:sz w:val="16"/>
                <w:szCs w:val="16"/>
              </w:rPr>
            </w:pPr>
          </w:p>
        </w:tc>
        <w:tc>
          <w:tcPr>
            <w:tcW w:w="226" w:type="pct"/>
            <w:shd w:val="clear" w:color="auto" w:fill="auto"/>
            <w:vAlign w:val="center"/>
          </w:tcPr>
          <w:p w:rsidR="00B90EE1" w:rsidRDefault="00B90EE1">
            <w:pPr>
              <w:spacing w:beforeLines="20" w:before="48" w:afterLines="20" w:after="48"/>
              <w:jc w:val="center"/>
              <w:rPr>
                <w:noProof/>
                <w:sz w:val="16"/>
                <w:szCs w:val="16"/>
              </w:rPr>
            </w:pPr>
          </w:p>
        </w:tc>
        <w:tc>
          <w:tcPr>
            <w:tcW w:w="115" w:type="pct"/>
            <w:shd w:val="clear" w:color="auto" w:fill="auto"/>
            <w:vAlign w:val="center"/>
          </w:tcPr>
          <w:p w:rsidR="00B90EE1" w:rsidRDefault="00B90EE1">
            <w:pPr>
              <w:spacing w:beforeLines="20" w:before="48" w:afterLines="20" w:after="48"/>
              <w:jc w:val="center"/>
              <w:rPr>
                <w:noProof/>
                <w:sz w:val="16"/>
                <w:szCs w:val="16"/>
              </w:rPr>
            </w:pPr>
          </w:p>
        </w:tc>
        <w:tc>
          <w:tcPr>
            <w:tcW w:w="115" w:type="pct"/>
            <w:shd w:val="clear" w:color="auto" w:fill="auto"/>
            <w:vAlign w:val="center"/>
          </w:tcPr>
          <w:p w:rsidR="00B90EE1" w:rsidRDefault="00B90EE1">
            <w:pPr>
              <w:spacing w:beforeLines="20" w:before="48" w:afterLines="20" w:after="48"/>
              <w:jc w:val="center"/>
              <w:rPr>
                <w:noProof/>
                <w:sz w:val="16"/>
                <w:szCs w:val="16"/>
              </w:rPr>
            </w:pPr>
          </w:p>
        </w:tc>
        <w:tc>
          <w:tcPr>
            <w:tcW w:w="115" w:type="pct"/>
            <w:shd w:val="clear" w:color="auto" w:fill="auto"/>
            <w:vAlign w:val="center"/>
          </w:tcPr>
          <w:p w:rsidR="00B90EE1" w:rsidRDefault="00B90EE1">
            <w:pPr>
              <w:spacing w:beforeLines="20" w:before="48" w:afterLines="20" w:after="48"/>
              <w:jc w:val="center"/>
              <w:rPr>
                <w:noProof/>
                <w:sz w:val="16"/>
                <w:szCs w:val="16"/>
              </w:rPr>
            </w:pPr>
          </w:p>
        </w:tc>
      </w:tr>
      <w:tr w:rsidR="00B90EE1">
        <w:trPr>
          <w:gridBefore w:val="1"/>
          <w:wBefore w:w="6" w:type="pct"/>
          <w:trHeight w:val="289"/>
          <w:jc w:val="center"/>
        </w:trPr>
        <w:tc>
          <w:tcPr>
            <w:tcW w:w="1897" w:type="pct"/>
            <w:gridSpan w:val="2"/>
            <w:shd w:val="clear" w:color="auto" w:fill="auto"/>
            <w:vAlign w:val="center"/>
          </w:tcPr>
          <w:p w:rsidR="00B90EE1" w:rsidRDefault="003A231F">
            <w:pPr>
              <w:pStyle w:val="Text1"/>
              <w:spacing w:beforeLines="20" w:before="48" w:afterLines="20" w:after="48"/>
              <w:ind w:left="134"/>
              <w:jc w:val="left"/>
              <w:rPr>
                <w:noProof/>
                <w:sz w:val="16"/>
                <w:szCs w:val="16"/>
              </w:rPr>
            </w:pPr>
            <w:r>
              <w:rPr>
                <w:noProof/>
                <w:sz w:val="16"/>
              </w:rPr>
              <w:t>10 01 05 01 (priamy výskum)</w:t>
            </w:r>
          </w:p>
        </w:tc>
        <w:tc>
          <w:tcPr>
            <w:tcW w:w="318" w:type="pct"/>
            <w:shd w:val="clear" w:color="auto" w:fill="auto"/>
            <w:vAlign w:val="center"/>
          </w:tcPr>
          <w:p w:rsidR="00B90EE1" w:rsidRDefault="00B90EE1">
            <w:pPr>
              <w:spacing w:beforeLines="20" w:before="48" w:afterLines="20" w:after="48"/>
              <w:jc w:val="center"/>
              <w:rPr>
                <w:noProof/>
                <w:sz w:val="16"/>
                <w:szCs w:val="16"/>
              </w:rPr>
            </w:pPr>
          </w:p>
        </w:tc>
        <w:tc>
          <w:tcPr>
            <w:tcW w:w="318" w:type="pct"/>
            <w:shd w:val="clear" w:color="auto" w:fill="auto"/>
            <w:vAlign w:val="center"/>
          </w:tcPr>
          <w:p w:rsidR="00B90EE1" w:rsidRDefault="00B90EE1">
            <w:pPr>
              <w:spacing w:beforeLines="20" w:before="48" w:afterLines="20" w:after="48"/>
              <w:jc w:val="center"/>
              <w:rPr>
                <w:noProof/>
                <w:sz w:val="16"/>
                <w:szCs w:val="16"/>
              </w:rPr>
            </w:pPr>
          </w:p>
        </w:tc>
        <w:tc>
          <w:tcPr>
            <w:tcW w:w="1891" w:type="pct"/>
            <w:shd w:val="clear" w:color="auto" w:fill="auto"/>
            <w:vAlign w:val="center"/>
          </w:tcPr>
          <w:p w:rsidR="00B90EE1" w:rsidRDefault="00B90EE1">
            <w:pPr>
              <w:spacing w:beforeLines="20" w:before="48" w:afterLines="20" w:after="48"/>
              <w:jc w:val="center"/>
              <w:rPr>
                <w:noProof/>
                <w:sz w:val="16"/>
                <w:szCs w:val="16"/>
              </w:rPr>
            </w:pPr>
          </w:p>
        </w:tc>
        <w:tc>
          <w:tcPr>
            <w:tcW w:w="226" w:type="pct"/>
            <w:shd w:val="clear" w:color="auto" w:fill="auto"/>
            <w:vAlign w:val="center"/>
          </w:tcPr>
          <w:p w:rsidR="00B90EE1" w:rsidRDefault="00B90EE1">
            <w:pPr>
              <w:spacing w:beforeLines="20" w:before="48" w:afterLines="20" w:after="48"/>
              <w:jc w:val="center"/>
              <w:rPr>
                <w:noProof/>
                <w:sz w:val="16"/>
                <w:szCs w:val="16"/>
              </w:rPr>
            </w:pPr>
          </w:p>
        </w:tc>
        <w:tc>
          <w:tcPr>
            <w:tcW w:w="115" w:type="pct"/>
            <w:shd w:val="clear" w:color="auto" w:fill="auto"/>
            <w:vAlign w:val="center"/>
          </w:tcPr>
          <w:p w:rsidR="00B90EE1" w:rsidRDefault="00B90EE1">
            <w:pPr>
              <w:spacing w:beforeLines="20" w:before="48" w:afterLines="20" w:after="48"/>
              <w:jc w:val="center"/>
              <w:rPr>
                <w:noProof/>
                <w:sz w:val="16"/>
                <w:szCs w:val="16"/>
              </w:rPr>
            </w:pPr>
          </w:p>
        </w:tc>
        <w:tc>
          <w:tcPr>
            <w:tcW w:w="115" w:type="pct"/>
            <w:shd w:val="clear" w:color="auto" w:fill="auto"/>
            <w:vAlign w:val="center"/>
          </w:tcPr>
          <w:p w:rsidR="00B90EE1" w:rsidRDefault="00B90EE1">
            <w:pPr>
              <w:spacing w:beforeLines="20" w:before="48" w:afterLines="20" w:after="48"/>
              <w:jc w:val="center"/>
              <w:rPr>
                <w:noProof/>
                <w:sz w:val="16"/>
                <w:szCs w:val="16"/>
              </w:rPr>
            </w:pPr>
          </w:p>
        </w:tc>
        <w:tc>
          <w:tcPr>
            <w:tcW w:w="115" w:type="pct"/>
            <w:shd w:val="clear" w:color="auto" w:fill="auto"/>
            <w:vAlign w:val="center"/>
          </w:tcPr>
          <w:p w:rsidR="00B90EE1" w:rsidRDefault="00B90EE1">
            <w:pPr>
              <w:spacing w:beforeLines="20" w:before="48" w:afterLines="20" w:after="48"/>
              <w:jc w:val="center"/>
              <w:rPr>
                <w:noProof/>
                <w:sz w:val="16"/>
                <w:szCs w:val="16"/>
              </w:rPr>
            </w:pPr>
          </w:p>
        </w:tc>
      </w:tr>
      <w:tr w:rsidR="00B90EE1">
        <w:trPr>
          <w:gridAfter w:val="4"/>
          <w:wAfter w:w="571" w:type="pct"/>
          <w:trHeight w:val="248"/>
          <w:jc w:val="center"/>
        </w:trPr>
        <w:tc>
          <w:tcPr>
            <w:tcW w:w="4429" w:type="pct"/>
            <w:gridSpan w:val="6"/>
            <w:shd w:val="clear" w:color="auto" w:fill="auto"/>
            <w:vAlign w:val="center"/>
          </w:tcPr>
          <w:p w:rsidR="00B90EE1" w:rsidRDefault="003A231F">
            <w:pPr>
              <w:pStyle w:val="Text1"/>
              <w:spacing w:before="60" w:after="60"/>
              <w:ind w:left="0"/>
              <w:jc w:val="left"/>
              <w:rPr>
                <w:b/>
                <w:noProof/>
                <w:sz w:val="16"/>
                <w:szCs w:val="16"/>
              </w:rPr>
            </w:pPr>
            <w:r>
              <w:rPr>
                <w:b/>
                <w:noProof/>
                <w:sz w:val="16"/>
              </w:rPr>
              <w:sym w:font="Wingdings" w:char="F09F"/>
            </w:r>
            <w:r>
              <w:rPr>
                <w:b/>
                <w:noProof/>
                <w:sz w:val="16"/>
              </w:rPr>
              <w:t xml:space="preserve"> Externí zamestnanci (ekvivalent plného pracovného času FTE)</w:t>
            </w:r>
            <w:r>
              <w:rPr>
                <w:rStyle w:val="Odkaznapoznmkupodiarou"/>
                <w:b/>
                <w:noProof/>
                <w:sz w:val="16"/>
              </w:rPr>
              <w:footnoteReference w:id="38"/>
            </w:r>
          </w:p>
          <w:p w:rsidR="00B90EE1" w:rsidRDefault="00B90EE1">
            <w:pPr>
              <w:pStyle w:val="Text1"/>
              <w:spacing w:before="0" w:after="0"/>
              <w:ind w:left="0"/>
              <w:jc w:val="left"/>
              <w:rPr>
                <w:noProof/>
                <w:sz w:val="16"/>
                <w:szCs w:val="16"/>
              </w:rPr>
            </w:pPr>
          </w:p>
        </w:tc>
      </w:tr>
      <w:tr w:rsidR="00B90EE1">
        <w:trPr>
          <w:gridBefore w:val="1"/>
          <w:wBefore w:w="6" w:type="pct"/>
          <w:trHeight w:val="289"/>
          <w:jc w:val="center"/>
        </w:trPr>
        <w:tc>
          <w:tcPr>
            <w:tcW w:w="1897" w:type="pct"/>
            <w:gridSpan w:val="2"/>
            <w:shd w:val="clear" w:color="auto" w:fill="auto"/>
            <w:vAlign w:val="center"/>
          </w:tcPr>
          <w:p w:rsidR="00B90EE1" w:rsidRDefault="003A231F">
            <w:pPr>
              <w:pStyle w:val="Text1"/>
              <w:spacing w:beforeLines="20" w:before="48" w:afterLines="20" w:after="48"/>
              <w:ind w:left="136"/>
              <w:jc w:val="left"/>
              <w:rPr>
                <w:b/>
                <w:noProof/>
                <w:sz w:val="16"/>
                <w:szCs w:val="16"/>
              </w:rPr>
            </w:pPr>
            <w:r>
              <w:rPr>
                <w:noProof/>
                <w:sz w:val="16"/>
              </w:rPr>
              <w:t xml:space="preserve">XX 01 02 01 (ZZ, VNE, </w:t>
            </w:r>
            <w:r>
              <w:rPr>
                <w:noProof/>
                <w:sz w:val="16"/>
              </w:rPr>
              <w:t>DAZ z celkového balíka prostriedkov)</w:t>
            </w:r>
          </w:p>
        </w:tc>
        <w:tc>
          <w:tcPr>
            <w:tcW w:w="318" w:type="pct"/>
            <w:shd w:val="clear" w:color="auto" w:fill="auto"/>
            <w:vAlign w:val="center"/>
          </w:tcPr>
          <w:p w:rsidR="00B90EE1" w:rsidRDefault="00B90EE1">
            <w:pPr>
              <w:spacing w:beforeLines="20" w:before="48" w:afterLines="20" w:after="48"/>
              <w:jc w:val="center"/>
              <w:rPr>
                <w:noProof/>
                <w:sz w:val="16"/>
                <w:szCs w:val="16"/>
              </w:rPr>
            </w:pPr>
          </w:p>
        </w:tc>
        <w:tc>
          <w:tcPr>
            <w:tcW w:w="318" w:type="pct"/>
            <w:shd w:val="clear" w:color="auto" w:fill="auto"/>
            <w:vAlign w:val="center"/>
          </w:tcPr>
          <w:p w:rsidR="00B90EE1" w:rsidRDefault="00B90EE1">
            <w:pPr>
              <w:spacing w:beforeLines="20" w:before="48" w:afterLines="20" w:after="48"/>
              <w:jc w:val="center"/>
              <w:rPr>
                <w:noProof/>
                <w:sz w:val="16"/>
                <w:szCs w:val="16"/>
              </w:rPr>
            </w:pPr>
          </w:p>
        </w:tc>
        <w:tc>
          <w:tcPr>
            <w:tcW w:w="1891" w:type="pct"/>
            <w:shd w:val="clear" w:color="auto" w:fill="auto"/>
            <w:vAlign w:val="center"/>
          </w:tcPr>
          <w:p w:rsidR="00B90EE1" w:rsidRDefault="00B90EE1">
            <w:pPr>
              <w:spacing w:beforeLines="20" w:before="48" w:afterLines="20" w:after="48"/>
              <w:jc w:val="center"/>
              <w:rPr>
                <w:noProof/>
                <w:sz w:val="16"/>
                <w:szCs w:val="16"/>
              </w:rPr>
            </w:pPr>
          </w:p>
        </w:tc>
        <w:tc>
          <w:tcPr>
            <w:tcW w:w="226" w:type="pct"/>
            <w:shd w:val="clear" w:color="auto" w:fill="auto"/>
            <w:vAlign w:val="center"/>
          </w:tcPr>
          <w:p w:rsidR="00B90EE1" w:rsidRDefault="00B90EE1">
            <w:pPr>
              <w:spacing w:beforeLines="20" w:before="48" w:afterLines="20" w:after="48"/>
              <w:jc w:val="center"/>
              <w:rPr>
                <w:noProof/>
                <w:sz w:val="16"/>
                <w:szCs w:val="16"/>
              </w:rPr>
            </w:pPr>
          </w:p>
        </w:tc>
        <w:tc>
          <w:tcPr>
            <w:tcW w:w="115" w:type="pct"/>
            <w:shd w:val="clear" w:color="auto" w:fill="auto"/>
            <w:vAlign w:val="center"/>
          </w:tcPr>
          <w:p w:rsidR="00B90EE1" w:rsidRDefault="00B90EE1">
            <w:pPr>
              <w:spacing w:beforeLines="20" w:before="48" w:afterLines="20" w:after="48"/>
              <w:jc w:val="center"/>
              <w:rPr>
                <w:noProof/>
                <w:sz w:val="16"/>
                <w:szCs w:val="16"/>
              </w:rPr>
            </w:pPr>
          </w:p>
        </w:tc>
        <w:tc>
          <w:tcPr>
            <w:tcW w:w="115" w:type="pct"/>
            <w:shd w:val="clear" w:color="auto" w:fill="auto"/>
            <w:vAlign w:val="center"/>
          </w:tcPr>
          <w:p w:rsidR="00B90EE1" w:rsidRDefault="00B90EE1">
            <w:pPr>
              <w:spacing w:beforeLines="20" w:before="48" w:afterLines="20" w:after="48"/>
              <w:jc w:val="center"/>
              <w:rPr>
                <w:noProof/>
                <w:sz w:val="16"/>
                <w:szCs w:val="16"/>
              </w:rPr>
            </w:pPr>
          </w:p>
        </w:tc>
        <w:tc>
          <w:tcPr>
            <w:tcW w:w="115" w:type="pct"/>
            <w:shd w:val="clear" w:color="auto" w:fill="auto"/>
            <w:vAlign w:val="center"/>
          </w:tcPr>
          <w:p w:rsidR="00B90EE1" w:rsidRDefault="00B90EE1">
            <w:pPr>
              <w:spacing w:beforeLines="20" w:before="48" w:afterLines="20" w:after="48"/>
              <w:jc w:val="center"/>
              <w:rPr>
                <w:noProof/>
                <w:sz w:val="16"/>
                <w:szCs w:val="16"/>
              </w:rPr>
            </w:pPr>
          </w:p>
        </w:tc>
      </w:tr>
      <w:tr w:rsidR="00B90EE1">
        <w:trPr>
          <w:gridBefore w:val="1"/>
          <w:wBefore w:w="6" w:type="pct"/>
          <w:trHeight w:val="289"/>
          <w:jc w:val="center"/>
        </w:trPr>
        <w:tc>
          <w:tcPr>
            <w:tcW w:w="1897" w:type="pct"/>
            <w:gridSpan w:val="2"/>
            <w:shd w:val="clear" w:color="auto" w:fill="auto"/>
            <w:vAlign w:val="center"/>
          </w:tcPr>
          <w:p w:rsidR="00B90EE1" w:rsidRDefault="003A231F">
            <w:pPr>
              <w:pStyle w:val="Text1"/>
              <w:spacing w:beforeLines="20" w:before="48" w:afterLines="20" w:after="48"/>
              <w:ind w:left="136"/>
              <w:jc w:val="left"/>
              <w:rPr>
                <w:noProof/>
                <w:sz w:val="16"/>
                <w:szCs w:val="16"/>
              </w:rPr>
            </w:pPr>
            <w:r>
              <w:rPr>
                <w:noProof/>
                <w:sz w:val="16"/>
              </w:rPr>
              <w:t>XX 01 02 02 (ZZ, MZ, VNE, DAZ, PED v delegáciách)</w:t>
            </w:r>
          </w:p>
        </w:tc>
        <w:tc>
          <w:tcPr>
            <w:tcW w:w="318" w:type="pct"/>
            <w:shd w:val="clear" w:color="auto" w:fill="auto"/>
            <w:vAlign w:val="center"/>
          </w:tcPr>
          <w:p w:rsidR="00B90EE1" w:rsidRDefault="00B90EE1">
            <w:pPr>
              <w:spacing w:beforeLines="20" w:before="48" w:afterLines="20" w:after="48"/>
              <w:jc w:val="center"/>
              <w:rPr>
                <w:noProof/>
                <w:sz w:val="16"/>
                <w:szCs w:val="16"/>
              </w:rPr>
            </w:pPr>
          </w:p>
        </w:tc>
        <w:tc>
          <w:tcPr>
            <w:tcW w:w="318" w:type="pct"/>
            <w:shd w:val="clear" w:color="auto" w:fill="auto"/>
            <w:vAlign w:val="center"/>
          </w:tcPr>
          <w:p w:rsidR="00B90EE1" w:rsidRDefault="00B90EE1">
            <w:pPr>
              <w:spacing w:beforeLines="20" w:before="48" w:afterLines="20" w:after="48"/>
              <w:jc w:val="center"/>
              <w:rPr>
                <w:noProof/>
                <w:sz w:val="16"/>
                <w:szCs w:val="16"/>
              </w:rPr>
            </w:pPr>
          </w:p>
        </w:tc>
        <w:tc>
          <w:tcPr>
            <w:tcW w:w="1891" w:type="pct"/>
            <w:shd w:val="clear" w:color="auto" w:fill="auto"/>
            <w:vAlign w:val="center"/>
          </w:tcPr>
          <w:p w:rsidR="00B90EE1" w:rsidRDefault="00B90EE1">
            <w:pPr>
              <w:spacing w:beforeLines="20" w:before="48" w:afterLines="20" w:after="48"/>
              <w:jc w:val="center"/>
              <w:rPr>
                <w:noProof/>
                <w:sz w:val="16"/>
                <w:szCs w:val="16"/>
              </w:rPr>
            </w:pPr>
          </w:p>
        </w:tc>
        <w:tc>
          <w:tcPr>
            <w:tcW w:w="226" w:type="pct"/>
            <w:shd w:val="clear" w:color="auto" w:fill="auto"/>
            <w:vAlign w:val="center"/>
          </w:tcPr>
          <w:p w:rsidR="00B90EE1" w:rsidRDefault="00B90EE1">
            <w:pPr>
              <w:spacing w:beforeLines="20" w:before="48" w:afterLines="20" w:after="48"/>
              <w:jc w:val="center"/>
              <w:rPr>
                <w:noProof/>
                <w:sz w:val="16"/>
                <w:szCs w:val="16"/>
              </w:rPr>
            </w:pPr>
          </w:p>
        </w:tc>
        <w:tc>
          <w:tcPr>
            <w:tcW w:w="115" w:type="pct"/>
            <w:shd w:val="clear" w:color="auto" w:fill="auto"/>
            <w:vAlign w:val="center"/>
          </w:tcPr>
          <w:p w:rsidR="00B90EE1" w:rsidRDefault="00B90EE1">
            <w:pPr>
              <w:spacing w:beforeLines="20" w:before="48" w:afterLines="20" w:after="48"/>
              <w:jc w:val="center"/>
              <w:rPr>
                <w:noProof/>
                <w:sz w:val="16"/>
                <w:szCs w:val="16"/>
              </w:rPr>
            </w:pPr>
          </w:p>
        </w:tc>
        <w:tc>
          <w:tcPr>
            <w:tcW w:w="115" w:type="pct"/>
            <w:shd w:val="clear" w:color="auto" w:fill="auto"/>
            <w:vAlign w:val="center"/>
          </w:tcPr>
          <w:p w:rsidR="00B90EE1" w:rsidRDefault="00B90EE1">
            <w:pPr>
              <w:spacing w:beforeLines="20" w:before="48" w:afterLines="20" w:after="48"/>
              <w:jc w:val="center"/>
              <w:rPr>
                <w:noProof/>
                <w:sz w:val="16"/>
                <w:szCs w:val="16"/>
              </w:rPr>
            </w:pPr>
          </w:p>
        </w:tc>
        <w:tc>
          <w:tcPr>
            <w:tcW w:w="115" w:type="pct"/>
            <w:shd w:val="clear" w:color="auto" w:fill="auto"/>
            <w:vAlign w:val="center"/>
          </w:tcPr>
          <w:p w:rsidR="00B90EE1" w:rsidRDefault="00B90EE1">
            <w:pPr>
              <w:spacing w:beforeLines="20" w:before="48" w:afterLines="20" w:after="48"/>
              <w:jc w:val="center"/>
              <w:rPr>
                <w:noProof/>
                <w:sz w:val="16"/>
                <w:szCs w:val="16"/>
              </w:rPr>
            </w:pPr>
          </w:p>
        </w:tc>
      </w:tr>
      <w:tr w:rsidR="00B90EE1">
        <w:trPr>
          <w:gridBefore w:val="1"/>
          <w:wBefore w:w="6" w:type="pct"/>
          <w:trHeight w:val="289"/>
          <w:jc w:val="center"/>
        </w:trPr>
        <w:tc>
          <w:tcPr>
            <w:tcW w:w="948" w:type="pct"/>
            <w:vMerge w:val="restart"/>
            <w:shd w:val="clear" w:color="auto" w:fill="auto"/>
            <w:vAlign w:val="center"/>
          </w:tcPr>
          <w:p w:rsidR="00B90EE1" w:rsidRDefault="003A231F">
            <w:pPr>
              <w:pStyle w:val="Text1"/>
              <w:spacing w:beforeLines="20" w:before="48" w:afterLines="20" w:after="48"/>
              <w:ind w:left="136"/>
              <w:jc w:val="left"/>
              <w:rPr>
                <w:b/>
                <w:noProof/>
                <w:sz w:val="16"/>
                <w:szCs w:val="16"/>
              </w:rPr>
            </w:pPr>
            <w:r>
              <w:rPr>
                <w:b/>
                <w:noProof/>
                <w:sz w:val="16"/>
              </w:rPr>
              <w:t>XX</w:t>
            </w:r>
            <w:r>
              <w:rPr>
                <w:noProof/>
                <w:sz w:val="16"/>
              </w:rPr>
              <w:t xml:space="preserve"> 01 04 </w:t>
            </w:r>
            <w:r>
              <w:rPr>
                <w:b/>
                <w:noProof/>
                <w:sz w:val="16"/>
              </w:rPr>
              <w:t>yy</w:t>
            </w:r>
            <w:r>
              <w:rPr>
                <w:b/>
                <w:i/>
                <w:noProof/>
                <w:sz w:val="16"/>
              </w:rPr>
              <w:t xml:space="preserve"> </w:t>
            </w:r>
            <w:r>
              <w:rPr>
                <w:rStyle w:val="Odkaznapoznmkupodiarou"/>
                <w:b/>
                <w:i/>
                <w:noProof/>
                <w:sz w:val="16"/>
              </w:rPr>
              <w:footnoteReference w:id="39"/>
            </w:r>
          </w:p>
          <w:p w:rsidR="00B90EE1" w:rsidRDefault="00B90EE1">
            <w:pPr>
              <w:pStyle w:val="Text1"/>
              <w:spacing w:beforeLines="20" w:before="48" w:afterLines="20" w:after="48"/>
              <w:ind w:left="136"/>
              <w:jc w:val="left"/>
              <w:rPr>
                <w:b/>
                <w:noProof/>
                <w:sz w:val="16"/>
                <w:szCs w:val="16"/>
              </w:rPr>
            </w:pPr>
          </w:p>
        </w:tc>
        <w:tc>
          <w:tcPr>
            <w:tcW w:w="949" w:type="pct"/>
            <w:shd w:val="clear" w:color="auto" w:fill="auto"/>
            <w:vAlign w:val="center"/>
          </w:tcPr>
          <w:p w:rsidR="00B90EE1" w:rsidRDefault="003A231F">
            <w:pPr>
              <w:pStyle w:val="Text1"/>
              <w:spacing w:beforeLines="20" w:before="48" w:afterLines="20" w:after="48"/>
              <w:ind w:left="136"/>
              <w:jc w:val="left"/>
              <w:rPr>
                <w:b/>
                <w:noProof/>
                <w:sz w:val="16"/>
                <w:szCs w:val="16"/>
              </w:rPr>
            </w:pPr>
            <w:r>
              <w:rPr>
                <w:noProof/>
                <w:sz w:val="16"/>
              </w:rPr>
              <w:t>‒</w:t>
            </w:r>
            <w:r>
              <w:rPr>
                <w:noProof/>
                <w:sz w:val="16"/>
              </w:rPr>
              <w:t xml:space="preserve"> ústredie</w:t>
            </w:r>
          </w:p>
          <w:p w:rsidR="00B90EE1" w:rsidRDefault="00B90EE1">
            <w:pPr>
              <w:pStyle w:val="Text1"/>
              <w:spacing w:beforeLines="20" w:before="48" w:afterLines="20" w:after="48"/>
              <w:ind w:left="136"/>
              <w:jc w:val="left"/>
              <w:rPr>
                <w:b/>
                <w:noProof/>
                <w:sz w:val="16"/>
                <w:szCs w:val="16"/>
              </w:rPr>
            </w:pPr>
          </w:p>
        </w:tc>
        <w:tc>
          <w:tcPr>
            <w:tcW w:w="318" w:type="pct"/>
            <w:shd w:val="clear" w:color="auto" w:fill="auto"/>
            <w:vAlign w:val="center"/>
          </w:tcPr>
          <w:p w:rsidR="00B90EE1" w:rsidRDefault="00B90EE1">
            <w:pPr>
              <w:pStyle w:val="Text1"/>
              <w:spacing w:beforeLines="20" w:before="48" w:afterLines="20" w:after="48"/>
              <w:ind w:left="0"/>
              <w:rPr>
                <w:noProof/>
                <w:sz w:val="16"/>
                <w:szCs w:val="16"/>
              </w:rPr>
            </w:pPr>
          </w:p>
        </w:tc>
        <w:tc>
          <w:tcPr>
            <w:tcW w:w="318" w:type="pct"/>
            <w:shd w:val="clear" w:color="auto" w:fill="auto"/>
            <w:vAlign w:val="center"/>
          </w:tcPr>
          <w:p w:rsidR="00B90EE1" w:rsidRDefault="00B90EE1">
            <w:pPr>
              <w:spacing w:beforeLines="20" w:before="48" w:afterLines="20" w:after="48"/>
              <w:jc w:val="center"/>
              <w:rPr>
                <w:noProof/>
                <w:sz w:val="16"/>
                <w:szCs w:val="16"/>
              </w:rPr>
            </w:pPr>
          </w:p>
        </w:tc>
        <w:tc>
          <w:tcPr>
            <w:tcW w:w="1891" w:type="pct"/>
            <w:shd w:val="clear" w:color="auto" w:fill="auto"/>
            <w:vAlign w:val="center"/>
          </w:tcPr>
          <w:p w:rsidR="00B90EE1" w:rsidRDefault="00B90EE1">
            <w:pPr>
              <w:spacing w:beforeLines="20" w:before="48" w:afterLines="20" w:after="48"/>
              <w:jc w:val="center"/>
              <w:rPr>
                <w:noProof/>
                <w:sz w:val="16"/>
                <w:szCs w:val="16"/>
              </w:rPr>
            </w:pPr>
          </w:p>
        </w:tc>
        <w:tc>
          <w:tcPr>
            <w:tcW w:w="226" w:type="pct"/>
            <w:shd w:val="clear" w:color="auto" w:fill="auto"/>
            <w:vAlign w:val="center"/>
          </w:tcPr>
          <w:p w:rsidR="00B90EE1" w:rsidRDefault="00B90EE1">
            <w:pPr>
              <w:spacing w:beforeLines="20" w:before="48" w:afterLines="20" w:after="48"/>
              <w:jc w:val="center"/>
              <w:rPr>
                <w:noProof/>
                <w:sz w:val="16"/>
                <w:szCs w:val="16"/>
              </w:rPr>
            </w:pPr>
          </w:p>
        </w:tc>
        <w:tc>
          <w:tcPr>
            <w:tcW w:w="115" w:type="pct"/>
            <w:shd w:val="clear" w:color="auto" w:fill="auto"/>
            <w:vAlign w:val="center"/>
          </w:tcPr>
          <w:p w:rsidR="00B90EE1" w:rsidRDefault="00B90EE1">
            <w:pPr>
              <w:spacing w:beforeLines="20" w:before="48" w:afterLines="20" w:after="48"/>
              <w:jc w:val="center"/>
              <w:rPr>
                <w:noProof/>
                <w:sz w:val="16"/>
                <w:szCs w:val="16"/>
              </w:rPr>
            </w:pPr>
          </w:p>
        </w:tc>
        <w:tc>
          <w:tcPr>
            <w:tcW w:w="115" w:type="pct"/>
            <w:shd w:val="clear" w:color="auto" w:fill="auto"/>
            <w:vAlign w:val="center"/>
          </w:tcPr>
          <w:p w:rsidR="00B90EE1" w:rsidRDefault="00B90EE1">
            <w:pPr>
              <w:spacing w:beforeLines="20" w:before="48" w:afterLines="20" w:after="48"/>
              <w:jc w:val="center"/>
              <w:rPr>
                <w:noProof/>
                <w:sz w:val="16"/>
                <w:szCs w:val="16"/>
              </w:rPr>
            </w:pPr>
          </w:p>
        </w:tc>
        <w:tc>
          <w:tcPr>
            <w:tcW w:w="115" w:type="pct"/>
            <w:shd w:val="clear" w:color="auto" w:fill="auto"/>
            <w:vAlign w:val="center"/>
          </w:tcPr>
          <w:p w:rsidR="00B90EE1" w:rsidRDefault="00B90EE1">
            <w:pPr>
              <w:spacing w:beforeLines="20" w:before="48" w:afterLines="20" w:after="48"/>
              <w:jc w:val="center"/>
              <w:rPr>
                <w:noProof/>
                <w:sz w:val="16"/>
                <w:szCs w:val="16"/>
              </w:rPr>
            </w:pPr>
          </w:p>
        </w:tc>
      </w:tr>
      <w:tr w:rsidR="00B90EE1">
        <w:trPr>
          <w:gridBefore w:val="1"/>
          <w:wBefore w:w="6" w:type="pct"/>
          <w:trHeight w:val="289"/>
          <w:jc w:val="center"/>
        </w:trPr>
        <w:tc>
          <w:tcPr>
            <w:tcW w:w="948" w:type="pct"/>
            <w:vMerge/>
            <w:shd w:val="clear" w:color="auto" w:fill="auto"/>
            <w:vAlign w:val="center"/>
          </w:tcPr>
          <w:p w:rsidR="00B90EE1" w:rsidRDefault="00B90EE1">
            <w:pPr>
              <w:pStyle w:val="Text1"/>
              <w:spacing w:beforeLines="20" w:before="48" w:afterLines="20" w:after="48"/>
              <w:ind w:left="136"/>
              <w:jc w:val="left"/>
              <w:rPr>
                <w:b/>
                <w:noProof/>
                <w:sz w:val="16"/>
                <w:szCs w:val="16"/>
              </w:rPr>
            </w:pPr>
          </w:p>
        </w:tc>
        <w:tc>
          <w:tcPr>
            <w:tcW w:w="949" w:type="pct"/>
            <w:shd w:val="clear" w:color="auto" w:fill="auto"/>
            <w:vAlign w:val="center"/>
          </w:tcPr>
          <w:p w:rsidR="00B90EE1" w:rsidRDefault="003A231F">
            <w:pPr>
              <w:pStyle w:val="Text1"/>
              <w:spacing w:beforeLines="20" w:before="48" w:afterLines="20" w:after="48"/>
              <w:ind w:left="136"/>
              <w:jc w:val="left"/>
              <w:rPr>
                <w:b/>
                <w:noProof/>
                <w:sz w:val="16"/>
                <w:szCs w:val="16"/>
              </w:rPr>
            </w:pPr>
            <w:r>
              <w:rPr>
                <w:noProof/>
                <w:sz w:val="16"/>
              </w:rPr>
              <w:t xml:space="preserve">– delegácie </w:t>
            </w:r>
          </w:p>
        </w:tc>
        <w:tc>
          <w:tcPr>
            <w:tcW w:w="318" w:type="pct"/>
            <w:shd w:val="clear" w:color="auto" w:fill="auto"/>
            <w:vAlign w:val="center"/>
          </w:tcPr>
          <w:p w:rsidR="00B90EE1" w:rsidRDefault="00B90EE1">
            <w:pPr>
              <w:pStyle w:val="Text1"/>
              <w:spacing w:beforeLines="20" w:before="48" w:afterLines="20" w:after="48"/>
              <w:ind w:left="0"/>
              <w:rPr>
                <w:noProof/>
                <w:sz w:val="16"/>
                <w:szCs w:val="16"/>
              </w:rPr>
            </w:pPr>
          </w:p>
        </w:tc>
        <w:tc>
          <w:tcPr>
            <w:tcW w:w="318" w:type="pct"/>
            <w:shd w:val="clear" w:color="auto" w:fill="auto"/>
            <w:vAlign w:val="center"/>
          </w:tcPr>
          <w:p w:rsidR="00B90EE1" w:rsidRDefault="00B90EE1">
            <w:pPr>
              <w:spacing w:beforeLines="20" w:before="48" w:afterLines="20" w:after="48"/>
              <w:jc w:val="center"/>
              <w:rPr>
                <w:noProof/>
                <w:sz w:val="16"/>
                <w:szCs w:val="16"/>
              </w:rPr>
            </w:pPr>
          </w:p>
        </w:tc>
        <w:tc>
          <w:tcPr>
            <w:tcW w:w="1891" w:type="pct"/>
            <w:shd w:val="clear" w:color="auto" w:fill="auto"/>
            <w:vAlign w:val="center"/>
          </w:tcPr>
          <w:p w:rsidR="00B90EE1" w:rsidRDefault="00B90EE1">
            <w:pPr>
              <w:spacing w:beforeLines="20" w:before="48" w:afterLines="20" w:after="48"/>
              <w:jc w:val="center"/>
              <w:rPr>
                <w:noProof/>
                <w:sz w:val="16"/>
                <w:szCs w:val="16"/>
              </w:rPr>
            </w:pPr>
          </w:p>
        </w:tc>
        <w:tc>
          <w:tcPr>
            <w:tcW w:w="226" w:type="pct"/>
            <w:shd w:val="clear" w:color="auto" w:fill="auto"/>
            <w:vAlign w:val="center"/>
          </w:tcPr>
          <w:p w:rsidR="00B90EE1" w:rsidRDefault="00B90EE1">
            <w:pPr>
              <w:spacing w:beforeLines="20" w:before="48" w:afterLines="20" w:after="48"/>
              <w:jc w:val="center"/>
              <w:rPr>
                <w:noProof/>
                <w:sz w:val="16"/>
                <w:szCs w:val="16"/>
              </w:rPr>
            </w:pPr>
          </w:p>
        </w:tc>
        <w:tc>
          <w:tcPr>
            <w:tcW w:w="115" w:type="pct"/>
            <w:shd w:val="clear" w:color="auto" w:fill="auto"/>
            <w:vAlign w:val="center"/>
          </w:tcPr>
          <w:p w:rsidR="00B90EE1" w:rsidRDefault="00B90EE1">
            <w:pPr>
              <w:spacing w:beforeLines="20" w:before="48" w:afterLines="20" w:after="48"/>
              <w:jc w:val="center"/>
              <w:rPr>
                <w:noProof/>
                <w:sz w:val="16"/>
                <w:szCs w:val="16"/>
              </w:rPr>
            </w:pPr>
          </w:p>
        </w:tc>
        <w:tc>
          <w:tcPr>
            <w:tcW w:w="115" w:type="pct"/>
            <w:shd w:val="clear" w:color="auto" w:fill="auto"/>
            <w:vAlign w:val="center"/>
          </w:tcPr>
          <w:p w:rsidR="00B90EE1" w:rsidRDefault="00B90EE1">
            <w:pPr>
              <w:spacing w:beforeLines="20" w:before="48" w:afterLines="20" w:after="48"/>
              <w:jc w:val="center"/>
              <w:rPr>
                <w:noProof/>
                <w:sz w:val="16"/>
                <w:szCs w:val="16"/>
              </w:rPr>
            </w:pPr>
          </w:p>
        </w:tc>
        <w:tc>
          <w:tcPr>
            <w:tcW w:w="115" w:type="pct"/>
            <w:shd w:val="clear" w:color="auto" w:fill="auto"/>
            <w:vAlign w:val="center"/>
          </w:tcPr>
          <w:p w:rsidR="00B90EE1" w:rsidRDefault="00B90EE1">
            <w:pPr>
              <w:spacing w:beforeLines="20" w:before="48" w:afterLines="20" w:after="48"/>
              <w:jc w:val="center"/>
              <w:rPr>
                <w:noProof/>
                <w:sz w:val="16"/>
                <w:szCs w:val="16"/>
              </w:rPr>
            </w:pPr>
          </w:p>
        </w:tc>
      </w:tr>
      <w:tr w:rsidR="00B90EE1">
        <w:trPr>
          <w:gridBefore w:val="1"/>
          <w:wBefore w:w="6" w:type="pct"/>
          <w:trHeight w:val="289"/>
          <w:jc w:val="center"/>
        </w:trPr>
        <w:tc>
          <w:tcPr>
            <w:tcW w:w="1897" w:type="pct"/>
            <w:gridSpan w:val="2"/>
            <w:shd w:val="clear" w:color="auto" w:fill="auto"/>
            <w:vAlign w:val="center"/>
          </w:tcPr>
          <w:p w:rsidR="00B90EE1" w:rsidRDefault="003A231F">
            <w:pPr>
              <w:pStyle w:val="Text1"/>
              <w:spacing w:beforeLines="20" w:before="48" w:afterLines="20" w:after="48"/>
              <w:ind w:left="136"/>
              <w:jc w:val="left"/>
              <w:rPr>
                <w:noProof/>
                <w:sz w:val="16"/>
                <w:szCs w:val="16"/>
              </w:rPr>
            </w:pPr>
            <w:r>
              <w:rPr>
                <w:b/>
                <w:noProof/>
                <w:sz w:val="16"/>
              </w:rPr>
              <w:t>XX</w:t>
            </w:r>
            <w:r>
              <w:rPr>
                <w:noProof/>
                <w:sz w:val="16"/>
              </w:rPr>
              <w:t xml:space="preserve"> 01 05 02 (ZZ, VNE, DAZ – nepriamy výskum)</w:t>
            </w:r>
          </w:p>
        </w:tc>
        <w:tc>
          <w:tcPr>
            <w:tcW w:w="318" w:type="pct"/>
            <w:shd w:val="clear" w:color="auto" w:fill="auto"/>
            <w:vAlign w:val="center"/>
          </w:tcPr>
          <w:p w:rsidR="00B90EE1" w:rsidRDefault="00B90EE1">
            <w:pPr>
              <w:spacing w:beforeLines="20" w:before="48" w:afterLines="20" w:after="48"/>
              <w:jc w:val="center"/>
              <w:rPr>
                <w:noProof/>
                <w:sz w:val="16"/>
                <w:szCs w:val="16"/>
              </w:rPr>
            </w:pPr>
          </w:p>
        </w:tc>
        <w:tc>
          <w:tcPr>
            <w:tcW w:w="318" w:type="pct"/>
            <w:shd w:val="clear" w:color="auto" w:fill="auto"/>
            <w:vAlign w:val="center"/>
          </w:tcPr>
          <w:p w:rsidR="00B90EE1" w:rsidRDefault="00B90EE1">
            <w:pPr>
              <w:spacing w:beforeLines="20" w:before="48" w:afterLines="20" w:after="48"/>
              <w:jc w:val="center"/>
              <w:rPr>
                <w:noProof/>
                <w:sz w:val="16"/>
                <w:szCs w:val="16"/>
              </w:rPr>
            </w:pPr>
          </w:p>
        </w:tc>
        <w:tc>
          <w:tcPr>
            <w:tcW w:w="1891" w:type="pct"/>
            <w:shd w:val="clear" w:color="auto" w:fill="auto"/>
            <w:vAlign w:val="center"/>
          </w:tcPr>
          <w:p w:rsidR="00B90EE1" w:rsidRDefault="00B90EE1">
            <w:pPr>
              <w:spacing w:beforeLines="20" w:before="48" w:afterLines="20" w:after="48"/>
              <w:jc w:val="center"/>
              <w:rPr>
                <w:noProof/>
                <w:sz w:val="16"/>
                <w:szCs w:val="16"/>
              </w:rPr>
            </w:pPr>
          </w:p>
        </w:tc>
        <w:tc>
          <w:tcPr>
            <w:tcW w:w="226" w:type="pct"/>
            <w:shd w:val="clear" w:color="auto" w:fill="auto"/>
            <w:vAlign w:val="center"/>
          </w:tcPr>
          <w:p w:rsidR="00B90EE1" w:rsidRDefault="00B90EE1">
            <w:pPr>
              <w:spacing w:beforeLines="20" w:before="48" w:afterLines="20" w:after="48"/>
              <w:jc w:val="center"/>
              <w:rPr>
                <w:noProof/>
                <w:sz w:val="16"/>
                <w:szCs w:val="16"/>
              </w:rPr>
            </w:pPr>
          </w:p>
        </w:tc>
        <w:tc>
          <w:tcPr>
            <w:tcW w:w="115" w:type="pct"/>
            <w:shd w:val="clear" w:color="auto" w:fill="auto"/>
            <w:vAlign w:val="center"/>
          </w:tcPr>
          <w:p w:rsidR="00B90EE1" w:rsidRDefault="00B90EE1">
            <w:pPr>
              <w:spacing w:beforeLines="20" w:before="48" w:afterLines="20" w:after="48"/>
              <w:jc w:val="center"/>
              <w:rPr>
                <w:noProof/>
                <w:sz w:val="16"/>
                <w:szCs w:val="16"/>
              </w:rPr>
            </w:pPr>
          </w:p>
        </w:tc>
        <w:tc>
          <w:tcPr>
            <w:tcW w:w="115" w:type="pct"/>
            <w:shd w:val="clear" w:color="auto" w:fill="auto"/>
            <w:vAlign w:val="center"/>
          </w:tcPr>
          <w:p w:rsidR="00B90EE1" w:rsidRDefault="00B90EE1">
            <w:pPr>
              <w:spacing w:beforeLines="20" w:before="48" w:afterLines="20" w:after="48"/>
              <w:jc w:val="center"/>
              <w:rPr>
                <w:noProof/>
                <w:sz w:val="16"/>
                <w:szCs w:val="16"/>
              </w:rPr>
            </w:pPr>
          </w:p>
        </w:tc>
        <w:tc>
          <w:tcPr>
            <w:tcW w:w="115" w:type="pct"/>
            <w:shd w:val="clear" w:color="auto" w:fill="auto"/>
            <w:vAlign w:val="center"/>
          </w:tcPr>
          <w:p w:rsidR="00B90EE1" w:rsidRDefault="00B90EE1">
            <w:pPr>
              <w:spacing w:beforeLines="20" w:before="48" w:afterLines="20" w:after="48"/>
              <w:jc w:val="center"/>
              <w:rPr>
                <w:noProof/>
                <w:sz w:val="16"/>
                <w:szCs w:val="16"/>
              </w:rPr>
            </w:pPr>
          </w:p>
        </w:tc>
      </w:tr>
      <w:tr w:rsidR="00B90EE1">
        <w:trPr>
          <w:gridBefore w:val="1"/>
          <w:wBefore w:w="6" w:type="pct"/>
          <w:trHeight w:val="289"/>
          <w:jc w:val="center"/>
        </w:trPr>
        <w:tc>
          <w:tcPr>
            <w:tcW w:w="1897" w:type="pct"/>
            <w:gridSpan w:val="2"/>
            <w:shd w:val="clear" w:color="auto" w:fill="auto"/>
            <w:vAlign w:val="center"/>
          </w:tcPr>
          <w:p w:rsidR="00B90EE1" w:rsidRDefault="003A231F">
            <w:pPr>
              <w:pStyle w:val="Text1"/>
              <w:spacing w:beforeLines="20" w:before="48" w:afterLines="20" w:after="48"/>
              <w:ind w:left="136"/>
              <w:jc w:val="left"/>
              <w:rPr>
                <w:noProof/>
                <w:sz w:val="16"/>
                <w:szCs w:val="16"/>
              </w:rPr>
            </w:pPr>
            <w:r>
              <w:rPr>
                <w:noProof/>
                <w:sz w:val="16"/>
              </w:rPr>
              <w:t>10 01 05 02 (ZZ, VNE, DAZ – priamy výskum)</w:t>
            </w:r>
          </w:p>
        </w:tc>
        <w:tc>
          <w:tcPr>
            <w:tcW w:w="318" w:type="pct"/>
            <w:shd w:val="clear" w:color="auto" w:fill="auto"/>
            <w:vAlign w:val="center"/>
          </w:tcPr>
          <w:p w:rsidR="00B90EE1" w:rsidRDefault="00B90EE1">
            <w:pPr>
              <w:spacing w:beforeLines="20" w:before="48" w:afterLines="20" w:after="48"/>
              <w:jc w:val="center"/>
              <w:rPr>
                <w:noProof/>
                <w:sz w:val="16"/>
                <w:szCs w:val="16"/>
              </w:rPr>
            </w:pPr>
          </w:p>
        </w:tc>
        <w:tc>
          <w:tcPr>
            <w:tcW w:w="318" w:type="pct"/>
            <w:shd w:val="clear" w:color="auto" w:fill="auto"/>
            <w:vAlign w:val="center"/>
          </w:tcPr>
          <w:p w:rsidR="00B90EE1" w:rsidRDefault="00B90EE1">
            <w:pPr>
              <w:spacing w:beforeLines="20" w:before="48" w:afterLines="20" w:after="48"/>
              <w:jc w:val="center"/>
              <w:rPr>
                <w:noProof/>
                <w:sz w:val="16"/>
                <w:szCs w:val="16"/>
              </w:rPr>
            </w:pPr>
          </w:p>
        </w:tc>
        <w:tc>
          <w:tcPr>
            <w:tcW w:w="1891" w:type="pct"/>
            <w:shd w:val="clear" w:color="auto" w:fill="auto"/>
            <w:vAlign w:val="center"/>
          </w:tcPr>
          <w:p w:rsidR="00B90EE1" w:rsidRDefault="00B90EE1">
            <w:pPr>
              <w:spacing w:beforeLines="20" w:before="48" w:afterLines="20" w:after="48"/>
              <w:jc w:val="center"/>
              <w:rPr>
                <w:noProof/>
                <w:sz w:val="16"/>
                <w:szCs w:val="16"/>
              </w:rPr>
            </w:pPr>
          </w:p>
        </w:tc>
        <w:tc>
          <w:tcPr>
            <w:tcW w:w="226" w:type="pct"/>
            <w:shd w:val="clear" w:color="auto" w:fill="auto"/>
            <w:vAlign w:val="center"/>
          </w:tcPr>
          <w:p w:rsidR="00B90EE1" w:rsidRDefault="00B90EE1">
            <w:pPr>
              <w:spacing w:beforeLines="20" w:before="48" w:afterLines="20" w:after="48"/>
              <w:jc w:val="center"/>
              <w:rPr>
                <w:noProof/>
                <w:sz w:val="16"/>
                <w:szCs w:val="16"/>
              </w:rPr>
            </w:pPr>
          </w:p>
        </w:tc>
        <w:tc>
          <w:tcPr>
            <w:tcW w:w="115" w:type="pct"/>
            <w:shd w:val="clear" w:color="auto" w:fill="auto"/>
            <w:vAlign w:val="center"/>
          </w:tcPr>
          <w:p w:rsidR="00B90EE1" w:rsidRDefault="00B90EE1">
            <w:pPr>
              <w:spacing w:beforeLines="20" w:before="48" w:afterLines="20" w:after="48"/>
              <w:jc w:val="center"/>
              <w:rPr>
                <w:noProof/>
                <w:sz w:val="16"/>
                <w:szCs w:val="16"/>
              </w:rPr>
            </w:pPr>
          </w:p>
        </w:tc>
        <w:tc>
          <w:tcPr>
            <w:tcW w:w="115" w:type="pct"/>
            <w:shd w:val="clear" w:color="auto" w:fill="auto"/>
            <w:vAlign w:val="center"/>
          </w:tcPr>
          <w:p w:rsidR="00B90EE1" w:rsidRDefault="00B90EE1">
            <w:pPr>
              <w:spacing w:beforeLines="20" w:before="48" w:afterLines="20" w:after="48"/>
              <w:jc w:val="center"/>
              <w:rPr>
                <w:noProof/>
                <w:sz w:val="16"/>
                <w:szCs w:val="16"/>
              </w:rPr>
            </w:pPr>
          </w:p>
        </w:tc>
        <w:tc>
          <w:tcPr>
            <w:tcW w:w="115" w:type="pct"/>
            <w:shd w:val="clear" w:color="auto" w:fill="auto"/>
            <w:vAlign w:val="center"/>
          </w:tcPr>
          <w:p w:rsidR="00B90EE1" w:rsidRDefault="00B90EE1">
            <w:pPr>
              <w:spacing w:beforeLines="20" w:before="48" w:afterLines="20" w:after="48"/>
              <w:jc w:val="center"/>
              <w:rPr>
                <w:noProof/>
                <w:sz w:val="16"/>
                <w:szCs w:val="16"/>
              </w:rPr>
            </w:pPr>
          </w:p>
        </w:tc>
      </w:tr>
      <w:tr w:rsidR="00B90EE1">
        <w:trPr>
          <w:gridBefore w:val="1"/>
          <w:wBefore w:w="6" w:type="pct"/>
          <w:trHeight w:val="289"/>
          <w:jc w:val="center"/>
        </w:trPr>
        <w:tc>
          <w:tcPr>
            <w:tcW w:w="1897" w:type="pct"/>
            <w:gridSpan w:val="2"/>
            <w:tcBorders>
              <w:bottom w:val="double" w:sz="4" w:space="0" w:color="auto"/>
            </w:tcBorders>
            <w:shd w:val="clear" w:color="auto" w:fill="auto"/>
            <w:vAlign w:val="center"/>
          </w:tcPr>
          <w:p w:rsidR="00B90EE1" w:rsidRDefault="003A231F">
            <w:pPr>
              <w:pStyle w:val="Text1"/>
              <w:spacing w:beforeLines="20" w:before="48" w:afterLines="20" w:after="48"/>
              <w:ind w:left="134"/>
              <w:jc w:val="left"/>
              <w:rPr>
                <w:noProof/>
                <w:sz w:val="16"/>
                <w:szCs w:val="16"/>
              </w:rPr>
            </w:pPr>
            <w:r>
              <w:rPr>
                <w:noProof/>
                <w:sz w:val="16"/>
              </w:rPr>
              <w:t>Iné rozpočtové riadky (uveďte)</w:t>
            </w:r>
          </w:p>
        </w:tc>
        <w:tc>
          <w:tcPr>
            <w:tcW w:w="318" w:type="pct"/>
            <w:tcBorders>
              <w:bottom w:val="double" w:sz="4" w:space="0" w:color="auto"/>
            </w:tcBorders>
            <w:shd w:val="clear" w:color="auto" w:fill="auto"/>
            <w:vAlign w:val="center"/>
          </w:tcPr>
          <w:p w:rsidR="00B90EE1" w:rsidRDefault="00B90EE1">
            <w:pPr>
              <w:spacing w:beforeLines="20" w:before="48" w:afterLines="20" w:after="48"/>
              <w:jc w:val="center"/>
              <w:rPr>
                <w:noProof/>
                <w:sz w:val="16"/>
                <w:szCs w:val="16"/>
              </w:rPr>
            </w:pPr>
          </w:p>
        </w:tc>
        <w:tc>
          <w:tcPr>
            <w:tcW w:w="318" w:type="pct"/>
            <w:tcBorders>
              <w:bottom w:val="double" w:sz="4" w:space="0" w:color="auto"/>
            </w:tcBorders>
            <w:shd w:val="clear" w:color="auto" w:fill="auto"/>
            <w:vAlign w:val="center"/>
          </w:tcPr>
          <w:p w:rsidR="00B90EE1" w:rsidRDefault="00B90EE1">
            <w:pPr>
              <w:spacing w:beforeLines="20" w:before="48" w:afterLines="20" w:after="48"/>
              <w:jc w:val="center"/>
              <w:rPr>
                <w:noProof/>
                <w:sz w:val="16"/>
                <w:szCs w:val="16"/>
              </w:rPr>
            </w:pPr>
          </w:p>
        </w:tc>
        <w:tc>
          <w:tcPr>
            <w:tcW w:w="1891" w:type="pct"/>
            <w:tcBorders>
              <w:bottom w:val="double" w:sz="4" w:space="0" w:color="auto"/>
            </w:tcBorders>
            <w:shd w:val="clear" w:color="auto" w:fill="auto"/>
            <w:vAlign w:val="center"/>
          </w:tcPr>
          <w:p w:rsidR="00B90EE1" w:rsidRDefault="00B90EE1">
            <w:pPr>
              <w:spacing w:beforeLines="20" w:before="48" w:afterLines="20" w:after="48"/>
              <w:jc w:val="center"/>
              <w:rPr>
                <w:noProof/>
                <w:sz w:val="16"/>
                <w:szCs w:val="16"/>
              </w:rPr>
            </w:pPr>
          </w:p>
        </w:tc>
        <w:tc>
          <w:tcPr>
            <w:tcW w:w="226" w:type="pct"/>
            <w:tcBorders>
              <w:bottom w:val="double" w:sz="4" w:space="0" w:color="auto"/>
            </w:tcBorders>
            <w:shd w:val="clear" w:color="auto" w:fill="auto"/>
            <w:vAlign w:val="center"/>
          </w:tcPr>
          <w:p w:rsidR="00B90EE1" w:rsidRDefault="00B90EE1">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rsidR="00B90EE1" w:rsidRDefault="00B90EE1">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rsidR="00B90EE1" w:rsidRDefault="00B90EE1">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rsidR="00B90EE1" w:rsidRDefault="00B90EE1">
            <w:pPr>
              <w:spacing w:beforeLines="20" w:before="48" w:afterLines="20" w:after="48"/>
              <w:jc w:val="center"/>
              <w:rPr>
                <w:noProof/>
                <w:sz w:val="16"/>
                <w:szCs w:val="16"/>
              </w:rPr>
            </w:pPr>
          </w:p>
        </w:tc>
      </w:tr>
      <w:tr w:rsidR="00B90EE1">
        <w:trPr>
          <w:gridBefore w:val="1"/>
          <w:wBefore w:w="6" w:type="pct"/>
          <w:trHeight w:val="289"/>
          <w:jc w:val="center"/>
        </w:trPr>
        <w:tc>
          <w:tcPr>
            <w:tcW w:w="1897" w:type="pct"/>
            <w:gridSpan w:val="2"/>
            <w:tcBorders>
              <w:top w:val="double" w:sz="4" w:space="0" w:color="auto"/>
            </w:tcBorders>
            <w:shd w:val="clear" w:color="auto" w:fill="auto"/>
            <w:vAlign w:val="center"/>
          </w:tcPr>
          <w:p w:rsidR="00B90EE1" w:rsidRDefault="003A231F">
            <w:pPr>
              <w:pStyle w:val="Text1"/>
              <w:spacing w:beforeLines="20" w:before="48" w:afterLines="20" w:after="48"/>
              <w:ind w:left="136"/>
              <w:jc w:val="left"/>
              <w:rPr>
                <w:noProof/>
                <w:sz w:val="16"/>
                <w:szCs w:val="16"/>
              </w:rPr>
            </w:pPr>
            <w:r>
              <w:rPr>
                <w:b/>
                <w:noProof/>
                <w:sz w:val="16"/>
              </w:rPr>
              <w:t>SPOLU</w:t>
            </w:r>
          </w:p>
        </w:tc>
        <w:tc>
          <w:tcPr>
            <w:tcW w:w="318" w:type="pct"/>
            <w:tcBorders>
              <w:top w:val="double" w:sz="4" w:space="0" w:color="auto"/>
            </w:tcBorders>
            <w:shd w:val="clear" w:color="auto" w:fill="auto"/>
            <w:vAlign w:val="center"/>
          </w:tcPr>
          <w:p w:rsidR="00B90EE1" w:rsidRDefault="003A231F">
            <w:pPr>
              <w:spacing w:beforeLines="20" w:before="48" w:afterLines="20" w:after="48"/>
              <w:jc w:val="center"/>
              <w:rPr>
                <w:b/>
                <w:noProof/>
                <w:sz w:val="16"/>
                <w:szCs w:val="16"/>
              </w:rPr>
            </w:pPr>
            <w:r>
              <w:rPr>
                <w:b/>
                <w:noProof/>
                <w:sz w:val="16"/>
              </w:rPr>
              <w:t>22</w:t>
            </w:r>
          </w:p>
        </w:tc>
        <w:tc>
          <w:tcPr>
            <w:tcW w:w="318" w:type="pct"/>
            <w:tcBorders>
              <w:top w:val="double" w:sz="4" w:space="0" w:color="auto"/>
            </w:tcBorders>
            <w:shd w:val="clear" w:color="auto" w:fill="auto"/>
            <w:vAlign w:val="center"/>
          </w:tcPr>
          <w:p w:rsidR="00B90EE1" w:rsidRDefault="003A231F">
            <w:pPr>
              <w:spacing w:beforeLines="20" w:before="48" w:afterLines="20" w:after="48"/>
              <w:jc w:val="center"/>
              <w:rPr>
                <w:b/>
                <w:noProof/>
                <w:sz w:val="16"/>
                <w:szCs w:val="16"/>
              </w:rPr>
            </w:pPr>
            <w:r>
              <w:rPr>
                <w:b/>
                <w:noProof/>
                <w:sz w:val="16"/>
              </w:rPr>
              <w:t>22</w:t>
            </w:r>
          </w:p>
        </w:tc>
        <w:tc>
          <w:tcPr>
            <w:tcW w:w="1891" w:type="pct"/>
            <w:tcBorders>
              <w:top w:val="double" w:sz="4" w:space="0" w:color="auto"/>
            </w:tcBorders>
            <w:shd w:val="clear" w:color="auto" w:fill="auto"/>
            <w:vAlign w:val="center"/>
          </w:tcPr>
          <w:p w:rsidR="00B90EE1" w:rsidRDefault="003A231F">
            <w:pPr>
              <w:spacing w:beforeLines="20" w:before="48" w:afterLines="20" w:after="48"/>
              <w:jc w:val="center"/>
              <w:rPr>
                <w:b/>
                <w:noProof/>
                <w:sz w:val="16"/>
                <w:szCs w:val="16"/>
              </w:rPr>
            </w:pPr>
            <w:r>
              <w:rPr>
                <w:b/>
                <w:noProof/>
                <w:sz w:val="16"/>
              </w:rPr>
              <w:t>22</w:t>
            </w:r>
          </w:p>
        </w:tc>
        <w:tc>
          <w:tcPr>
            <w:tcW w:w="226" w:type="pct"/>
            <w:tcBorders>
              <w:top w:val="double" w:sz="4" w:space="0" w:color="auto"/>
            </w:tcBorders>
            <w:shd w:val="clear" w:color="auto" w:fill="auto"/>
            <w:vAlign w:val="center"/>
          </w:tcPr>
          <w:p w:rsidR="00B90EE1" w:rsidRDefault="003A231F">
            <w:pPr>
              <w:spacing w:beforeLines="20" w:before="48" w:afterLines="20" w:after="48"/>
              <w:jc w:val="center"/>
              <w:rPr>
                <w:b/>
                <w:noProof/>
                <w:sz w:val="16"/>
                <w:szCs w:val="16"/>
              </w:rPr>
            </w:pPr>
            <w:r>
              <w:rPr>
                <w:b/>
                <w:noProof/>
                <w:sz w:val="16"/>
              </w:rPr>
              <w:t>22</w:t>
            </w:r>
          </w:p>
        </w:tc>
        <w:tc>
          <w:tcPr>
            <w:tcW w:w="115" w:type="pct"/>
            <w:tcBorders>
              <w:top w:val="double" w:sz="4" w:space="0" w:color="auto"/>
            </w:tcBorders>
            <w:shd w:val="clear" w:color="auto" w:fill="auto"/>
            <w:vAlign w:val="center"/>
          </w:tcPr>
          <w:p w:rsidR="00B90EE1" w:rsidRDefault="00B90EE1">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rsidR="00B90EE1" w:rsidRDefault="00B90EE1">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rsidR="00B90EE1" w:rsidRDefault="00B90EE1">
            <w:pPr>
              <w:spacing w:beforeLines="20" w:before="48" w:afterLines="20" w:after="48"/>
              <w:jc w:val="center"/>
              <w:rPr>
                <w:b/>
                <w:noProof/>
                <w:sz w:val="16"/>
                <w:szCs w:val="16"/>
              </w:rPr>
            </w:pPr>
          </w:p>
        </w:tc>
      </w:tr>
    </w:tbl>
    <w:p w:rsidR="00B90EE1" w:rsidRDefault="003A231F">
      <w:pPr>
        <w:pStyle w:val="Text1"/>
        <w:spacing w:before="60" w:after="60"/>
        <w:ind w:left="851"/>
        <w:rPr>
          <w:noProof/>
          <w:sz w:val="18"/>
          <w:szCs w:val="18"/>
        </w:rPr>
      </w:pPr>
      <w:r>
        <w:rPr>
          <w:b/>
          <w:noProof/>
          <w:sz w:val="18"/>
        </w:rPr>
        <w:t>XX</w:t>
      </w:r>
      <w:r>
        <w:rPr>
          <w:noProof/>
        </w:rPr>
        <w:t xml:space="preserve"> </w:t>
      </w:r>
      <w:r>
        <w:rPr>
          <w:noProof/>
          <w:sz w:val="18"/>
        </w:rPr>
        <w:t>predstavuje príslušnú oblasť politiky alebo rozpočtovú hlavu.</w:t>
      </w:r>
    </w:p>
    <w:p w:rsidR="00B90EE1" w:rsidRDefault="003A231F">
      <w:pPr>
        <w:pStyle w:val="Text1"/>
        <w:rPr>
          <w:noProof/>
          <w:sz w:val="18"/>
          <w:szCs w:val="18"/>
        </w:rPr>
      </w:pPr>
      <w:r>
        <w:rPr>
          <w:noProof/>
          <w:sz w:val="18"/>
        </w:rPr>
        <w:t xml:space="preserve">Potreby ľudských zdrojov budú pokryté úradníkmi GR, ktorí už boli pridelení na riadenie akcie a/alebo boli interne </w:t>
      </w:r>
      <w:r>
        <w:rPr>
          <w:noProof/>
          <w:sz w:val="18"/>
        </w:rPr>
        <w:t>prerozdelení v rámci GR, a v prípade potreby budú doplnené zdrojmi, ktoré sa môžu prideliť riadiacemu GR v rámci ročného postupu prideľovania zdrojov v závislosti od rozpočtových obmedzení.</w:t>
      </w:r>
    </w:p>
    <w:p w:rsidR="00B90EE1" w:rsidRDefault="003A231F">
      <w:pPr>
        <w:rPr>
          <w:noProof/>
          <w:sz w:val="20"/>
        </w:rPr>
      </w:pPr>
      <w:r>
        <w:rPr>
          <w:noProof/>
          <w:sz w:val="20"/>
        </w:rPr>
        <w:lastRenderedPageBreak/>
        <w:t>Opis úloh, ktoré sa majú vykonať:</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B90EE1">
        <w:tc>
          <w:tcPr>
            <w:tcW w:w="3240" w:type="dxa"/>
          </w:tcPr>
          <w:p w:rsidR="00B90EE1" w:rsidRDefault="003A231F">
            <w:pPr>
              <w:rPr>
                <w:noProof/>
                <w:sz w:val="20"/>
              </w:rPr>
            </w:pPr>
            <w:r>
              <w:rPr>
                <w:noProof/>
                <w:sz w:val="20"/>
              </w:rPr>
              <w:t>Úradníci a dočasní zamestnanci</w:t>
            </w:r>
          </w:p>
        </w:tc>
        <w:tc>
          <w:tcPr>
            <w:tcW w:w="7200" w:type="dxa"/>
          </w:tcPr>
          <w:p w:rsidR="00B90EE1" w:rsidRDefault="003A231F">
            <w:pPr>
              <w:rPr>
                <w:noProof/>
                <w:sz w:val="20"/>
              </w:rPr>
            </w:pPr>
            <w:r>
              <w:rPr>
                <w:noProof/>
                <w:sz w:val="20"/>
              </w:rPr>
              <w:t>Ú</w:t>
            </w:r>
            <w:r>
              <w:rPr>
                <w:noProof/>
                <w:sz w:val="20"/>
              </w:rPr>
              <w:t>radníci budú musieť:</w:t>
            </w:r>
          </w:p>
          <w:p w:rsidR="00B90EE1" w:rsidRDefault="003A231F">
            <w:pPr>
              <w:rPr>
                <w:noProof/>
                <w:sz w:val="20"/>
              </w:rPr>
            </w:pPr>
            <w:r>
              <w:rPr>
                <w:noProof/>
                <w:sz w:val="20"/>
              </w:rPr>
              <w:t>– konať ako kontaktné miesta a vybavovať doručené oznámenia členských štátov podľa článku 8, pripravovať stretnutia kontaktných miest a zabezpečovať konzistentnosť, pokiaľ ide o poradné stanoviská Komisie,</w:t>
            </w:r>
          </w:p>
          <w:p w:rsidR="00B90EE1" w:rsidRDefault="003A231F">
            <w:pPr>
              <w:rPr>
                <w:noProof/>
                <w:sz w:val="20"/>
              </w:rPr>
            </w:pPr>
            <w:r>
              <w:rPr>
                <w:noProof/>
                <w:sz w:val="20"/>
              </w:rPr>
              <w:t>– preverovať zahraničné inves</w:t>
            </w:r>
            <w:r>
              <w:rPr>
                <w:noProof/>
                <w:sz w:val="20"/>
              </w:rPr>
              <w:t>tície z hľadiska bezpečnosti a verejného poriadku, pokiaľ ide o projekty a programy v záujme Únie, pričom túto expertízu treba nadobudnúť,</w:t>
            </w:r>
          </w:p>
          <w:p w:rsidR="00B90EE1" w:rsidRDefault="003A231F">
            <w:pPr>
              <w:rPr>
                <w:noProof/>
                <w:sz w:val="20"/>
              </w:rPr>
            </w:pPr>
            <w:r>
              <w:rPr>
                <w:noProof/>
                <w:sz w:val="20"/>
              </w:rPr>
              <w:t>– zaisťovať konzistentnosť s inými politikami EÚ, predovšetkým s </w:t>
            </w:r>
            <w:r>
              <w:rPr>
                <w:i/>
                <w:noProof/>
                <w:sz w:val="20"/>
              </w:rPr>
              <w:t>acquis</w:t>
            </w:r>
            <w:r>
              <w:rPr>
                <w:noProof/>
                <w:sz w:val="20"/>
              </w:rPr>
              <w:t xml:space="preserve"> Únie, pokiaľ ide o voľný pohyb kapitálu, nariadenie o fúziách a </w:t>
            </w:r>
            <w:r>
              <w:rPr>
                <w:i/>
                <w:noProof/>
                <w:sz w:val="20"/>
              </w:rPr>
              <w:t>acquis</w:t>
            </w:r>
            <w:r>
              <w:rPr>
                <w:noProof/>
                <w:sz w:val="20"/>
              </w:rPr>
              <w:t xml:space="preserve"> EÚ v oblasti energetiky.</w:t>
            </w:r>
          </w:p>
        </w:tc>
      </w:tr>
      <w:tr w:rsidR="00B90EE1">
        <w:tc>
          <w:tcPr>
            <w:tcW w:w="3240" w:type="dxa"/>
          </w:tcPr>
          <w:p w:rsidR="00B90EE1" w:rsidRDefault="003A231F">
            <w:pPr>
              <w:spacing w:before="60" w:after="60"/>
              <w:rPr>
                <w:noProof/>
                <w:sz w:val="20"/>
              </w:rPr>
            </w:pPr>
            <w:r>
              <w:rPr>
                <w:noProof/>
                <w:sz w:val="20"/>
              </w:rPr>
              <w:t>Externí zamestnanci</w:t>
            </w:r>
          </w:p>
        </w:tc>
        <w:tc>
          <w:tcPr>
            <w:tcW w:w="7200" w:type="dxa"/>
          </w:tcPr>
          <w:p w:rsidR="00B90EE1" w:rsidRDefault="00B90EE1">
            <w:pPr>
              <w:rPr>
                <w:noProof/>
                <w:sz w:val="20"/>
              </w:rPr>
            </w:pPr>
          </w:p>
        </w:tc>
      </w:tr>
    </w:tbl>
    <w:p w:rsidR="00B90EE1" w:rsidRDefault="00B90EE1">
      <w:pPr>
        <w:rPr>
          <w:noProof/>
        </w:rPr>
        <w:sectPr w:rsidR="00B90EE1">
          <w:pgSz w:w="11907" w:h="16840"/>
          <w:pgMar w:top="1134" w:right="1418" w:bottom="1134" w:left="1418" w:header="709" w:footer="709" w:gutter="0"/>
          <w:cols w:space="708"/>
          <w:docGrid w:linePitch="360"/>
        </w:sectPr>
      </w:pPr>
    </w:p>
    <w:p w:rsidR="00B90EE1" w:rsidRDefault="003A231F">
      <w:pPr>
        <w:pStyle w:val="ManualHeading3"/>
        <w:rPr>
          <w:noProof/>
        </w:rPr>
      </w:pPr>
      <w:r>
        <w:rPr>
          <w:noProof/>
        </w:rPr>
        <w:lastRenderedPageBreak/>
        <w:t>3.2.4.</w:t>
      </w:r>
      <w:r>
        <w:rPr>
          <w:noProof/>
        </w:rPr>
        <w:tab/>
        <w:t>Súlad s platným viacročným finančným rámcom</w:t>
      </w:r>
    </w:p>
    <w:p w:rsidR="00B90EE1" w:rsidRDefault="003A231F">
      <w:pPr>
        <w:pStyle w:val="ListDash1"/>
        <w:rPr>
          <w:noProof/>
        </w:rPr>
      </w:pPr>
      <w:r>
        <w:rPr>
          <w:noProof/>
        </w:rPr>
        <w:t>x</w:t>
      </w:r>
      <w:r>
        <w:rPr>
          <w:noProof/>
        </w:rPr>
        <w:tab/>
        <w:t>Návrh/iniciatíva je v súlade s platným viacročným finančným rám</w:t>
      </w:r>
      <w:r>
        <w:rPr>
          <w:noProof/>
        </w:rPr>
        <w:t>com.</w:t>
      </w:r>
    </w:p>
    <w:p w:rsidR="00B90EE1" w:rsidRDefault="003A231F">
      <w:pPr>
        <w:pStyle w:val="ListDash1"/>
        <w:rPr>
          <w:noProof/>
        </w:rPr>
      </w:pPr>
      <w:r>
        <w:rPr>
          <w:noProof/>
        </w:rPr>
        <w:sym w:font="Wingdings" w:char="F0A8"/>
      </w:r>
      <w:r>
        <w:rPr>
          <w:noProof/>
        </w:rPr>
        <w:tab/>
        <w:t>Návrh/iniciatíva si vyžaduje zmenu v plánovaní príslušného okruhu vo viacročnom finančnom rámci.</w:t>
      </w:r>
    </w:p>
    <w:p w:rsidR="00B90EE1" w:rsidRDefault="003A231F">
      <w:pPr>
        <w:pStyle w:val="Text1"/>
        <w:pBdr>
          <w:top w:val="single" w:sz="4" w:space="1" w:color="auto"/>
          <w:left w:val="single" w:sz="4" w:space="4" w:color="auto"/>
          <w:bottom w:val="single" w:sz="4" w:space="1" w:color="auto"/>
          <w:right w:val="single" w:sz="4" w:space="4" w:color="auto"/>
        </w:pBdr>
        <w:rPr>
          <w:noProof/>
          <w:sz w:val="20"/>
        </w:rPr>
      </w:pPr>
      <w:r>
        <w:rPr>
          <w:noProof/>
          <w:sz w:val="20"/>
        </w:rPr>
        <w:t>Vysvetlite požadovanú zmenu v plánovaní a uveďte príslušné rozpočtové riadky a zodpovedajúce sumy.</w:t>
      </w:r>
    </w:p>
    <w:p w:rsidR="00B90EE1" w:rsidRDefault="003A231F">
      <w:pPr>
        <w:pStyle w:val="ListDash1"/>
        <w:rPr>
          <w:noProof/>
        </w:rPr>
      </w:pPr>
      <w:r>
        <w:rPr>
          <w:noProof/>
        </w:rPr>
        <w:sym w:font="Wingdings" w:char="F0A8"/>
      </w:r>
      <w:r>
        <w:rPr>
          <w:noProof/>
        </w:rPr>
        <w:tab/>
        <w:t>Návrh/iniciatíva si vyžaduje, aby sa použil nástroj</w:t>
      </w:r>
      <w:r>
        <w:rPr>
          <w:noProof/>
        </w:rPr>
        <w:t xml:space="preserve"> flexibility alebo aby sa uskutočnila revízia viacročného finančného rámca.</w:t>
      </w:r>
    </w:p>
    <w:p w:rsidR="00B90EE1" w:rsidRDefault="003A231F">
      <w:pPr>
        <w:pStyle w:val="Text1"/>
        <w:pBdr>
          <w:top w:val="single" w:sz="4" w:space="1" w:color="auto"/>
          <w:left w:val="single" w:sz="4" w:space="4" w:color="auto"/>
          <w:bottom w:val="single" w:sz="4" w:space="1" w:color="auto"/>
          <w:right w:val="single" w:sz="4" w:space="4" w:color="auto"/>
        </w:pBdr>
        <w:rPr>
          <w:noProof/>
          <w:sz w:val="20"/>
        </w:rPr>
      </w:pPr>
      <w:r>
        <w:rPr>
          <w:noProof/>
          <w:sz w:val="20"/>
        </w:rPr>
        <w:t>Vysvetlite potrebu a uveďte príslušné okruhy, rozpočtové riadky a zodpovedajúce sumy.</w:t>
      </w:r>
    </w:p>
    <w:p w:rsidR="00B90EE1" w:rsidRDefault="003A231F">
      <w:pPr>
        <w:pStyle w:val="ManualHeading3"/>
        <w:rPr>
          <w:noProof/>
        </w:rPr>
      </w:pPr>
      <w:r>
        <w:rPr>
          <w:noProof/>
        </w:rPr>
        <w:t>3.2.5.</w:t>
      </w:r>
      <w:r>
        <w:rPr>
          <w:noProof/>
        </w:rPr>
        <w:tab/>
        <w:t>Príspevky od tretích strán</w:t>
      </w:r>
    </w:p>
    <w:p w:rsidR="00B90EE1" w:rsidRDefault="003A231F">
      <w:pPr>
        <w:pStyle w:val="ListDash1"/>
        <w:rPr>
          <w:noProof/>
        </w:rPr>
      </w:pPr>
      <w:r>
        <w:rPr>
          <w:noProof/>
        </w:rPr>
        <w:t>X Návrh/iniciatíva nezahŕňa spolufinancovanie tretími strana</w:t>
      </w:r>
      <w:r>
        <w:rPr>
          <w:noProof/>
        </w:rPr>
        <w:t>mi.</w:t>
      </w:r>
    </w:p>
    <w:p w:rsidR="00B90EE1" w:rsidRDefault="003A231F">
      <w:pPr>
        <w:pStyle w:val="ListDash1"/>
        <w:rPr>
          <w:noProof/>
        </w:rPr>
      </w:pPr>
      <w:r>
        <w:rPr>
          <w:noProof/>
        </w:rPr>
        <w:t>Návrh/iniciatíva zahŕňa spolufinancovanie tretími stranami, ako je odhadnuté v nasledujúcej tabuľke:</w:t>
      </w:r>
    </w:p>
    <w:p w:rsidR="00B90EE1" w:rsidRDefault="003A231F">
      <w:pPr>
        <w:jc w:val="right"/>
        <w:rPr>
          <w:noProof/>
          <w:sz w:val="20"/>
        </w:rPr>
      </w:pPr>
      <w:r>
        <w:rPr>
          <w:noProof/>
          <w:sz w:val="20"/>
        </w:rPr>
        <w:t>rozpočtové prostriedky v mil. EUR (zaokrúhlené na 3 desatinné miesta)</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B90EE1">
        <w:trPr>
          <w:cantSplit/>
        </w:trPr>
        <w:tc>
          <w:tcPr>
            <w:tcW w:w="2340" w:type="dxa"/>
          </w:tcPr>
          <w:p w:rsidR="00B90EE1" w:rsidRDefault="00B90EE1">
            <w:pPr>
              <w:spacing w:before="60" w:after="60"/>
              <w:rPr>
                <w:noProof/>
                <w:sz w:val="20"/>
              </w:rPr>
            </w:pPr>
          </w:p>
        </w:tc>
        <w:tc>
          <w:tcPr>
            <w:tcW w:w="964" w:type="dxa"/>
            <w:vAlign w:val="center"/>
          </w:tcPr>
          <w:p w:rsidR="00B90EE1" w:rsidRDefault="003A231F">
            <w:pPr>
              <w:jc w:val="center"/>
              <w:rPr>
                <w:noProof/>
                <w:sz w:val="20"/>
              </w:rPr>
            </w:pPr>
            <w:r>
              <w:rPr>
                <w:noProof/>
                <w:sz w:val="20"/>
              </w:rPr>
              <w:t>Rok</w:t>
            </w:r>
            <w:r>
              <w:rPr>
                <w:noProof/>
                <w:sz w:val="22"/>
              </w:rPr>
              <w:br/>
            </w:r>
            <w:r>
              <w:rPr>
                <w:b/>
                <w:noProof/>
                <w:sz w:val="20"/>
              </w:rPr>
              <w:t>N</w:t>
            </w:r>
          </w:p>
        </w:tc>
        <w:tc>
          <w:tcPr>
            <w:tcW w:w="964" w:type="dxa"/>
            <w:vAlign w:val="center"/>
          </w:tcPr>
          <w:p w:rsidR="00B90EE1" w:rsidRDefault="003A231F">
            <w:pPr>
              <w:jc w:val="center"/>
              <w:rPr>
                <w:noProof/>
                <w:sz w:val="20"/>
              </w:rPr>
            </w:pPr>
            <w:r>
              <w:rPr>
                <w:noProof/>
                <w:sz w:val="20"/>
              </w:rPr>
              <w:t>Rok</w:t>
            </w:r>
            <w:r>
              <w:rPr>
                <w:noProof/>
                <w:sz w:val="22"/>
              </w:rPr>
              <w:br/>
            </w:r>
            <w:r>
              <w:rPr>
                <w:b/>
                <w:noProof/>
                <w:sz w:val="20"/>
              </w:rPr>
              <w:t>N + 1</w:t>
            </w:r>
          </w:p>
        </w:tc>
        <w:tc>
          <w:tcPr>
            <w:tcW w:w="964" w:type="dxa"/>
            <w:vAlign w:val="center"/>
          </w:tcPr>
          <w:p w:rsidR="00B90EE1" w:rsidRDefault="003A231F">
            <w:pPr>
              <w:jc w:val="center"/>
              <w:rPr>
                <w:noProof/>
                <w:sz w:val="20"/>
              </w:rPr>
            </w:pPr>
            <w:r>
              <w:rPr>
                <w:noProof/>
                <w:sz w:val="20"/>
              </w:rPr>
              <w:t>Rok</w:t>
            </w:r>
            <w:r>
              <w:rPr>
                <w:noProof/>
                <w:sz w:val="22"/>
              </w:rPr>
              <w:br/>
            </w:r>
            <w:r>
              <w:rPr>
                <w:b/>
                <w:noProof/>
                <w:sz w:val="20"/>
              </w:rPr>
              <w:t>N + 2</w:t>
            </w:r>
          </w:p>
        </w:tc>
        <w:tc>
          <w:tcPr>
            <w:tcW w:w="964" w:type="dxa"/>
            <w:vAlign w:val="center"/>
          </w:tcPr>
          <w:p w:rsidR="00B90EE1" w:rsidRDefault="003A231F">
            <w:pPr>
              <w:jc w:val="center"/>
              <w:rPr>
                <w:noProof/>
                <w:sz w:val="20"/>
              </w:rPr>
            </w:pPr>
            <w:r>
              <w:rPr>
                <w:noProof/>
                <w:sz w:val="20"/>
              </w:rPr>
              <w:t>Rok</w:t>
            </w:r>
            <w:r>
              <w:rPr>
                <w:noProof/>
                <w:sz w:val="22"/>
              </w:rPr>
              <w:br/>
            </w:r>
            <w:r>
              <w:rPr>
                <w:b/>
                <w:noProof/>
                <w:sz w:val="20"/>
              </w:rPr>
              <w:t>N + 3</w:t>
            </w:r>
          </w:p>
        </w:tc>
        <w:tc>
          <w:tcPr>
            <w:tcW w:w="2892" w:type="dxa"/>
            <w:gridSpan w:val="3"/>
            <w:vAlign w:val="center"/>
          </w:tcPr>
          <w:p w:rsidR="00B90EE1" w:rsidRDefault="003A231F">
            <w:pPr>
              <w:jc w:val="center"/>
              <w:rPr>
                <w:b/>
                <w:noProof/>
                <w:sz w:val="20"/>
              </w:rPr>
            </w:pPr>
            <w:r>
              <w:rPr>
                <w:noProof/>
                <w:sz w:val="20"/>
              </w:rPr>
              <w:t>Uveďte všetky roky, počas ktorých vplyv trvá</w:t>
            </w:r>
            <w:r>
              <w:rPr>
                <w:noProof/>
                <w:sz w:val="20"/>
              </w:rPr>
              <w:t xml:space="preserve"> (pozri bod 1.6)</w:t>
            </w:r>
          </w:p>
        </w:tc>
        <w:tc>
          <w:tcPr>
            <w:tcW w:w="1158" w:type="dxa"/>
            <w:vAlign w:val="center"/>
          </w:tcPr>
          <w:p w:rsidR="00B90EE1" w:rsidRDefault="003A231F">
            <w:pPr>
              <w:spacing w:before="60" w:after="60"/>
              <w:jc w:val="center"/>
              <w:rPr>
                <w:noProof/>
                <w:sz w:val="20"/>
              </w:rPr>
            </w:pPr>
            <w:r>
              <w:rPr>
                <w:noProof/>
                <w:sz w:val="20"/>
              </w:rPr>
              <w:t>Spolu</w:t>
            </w:r>
          </w:p>
        </w:tc>
      </w:tr>
      <w:tr w:rsidR="00B90EE1">
        <w:trPr>
          <w:cantSplit/>
        </w:trPr>
        <w:tc>
          <w:tcPr>
            <w:tcW w:w="2340" w:type="dxa"/>
          </w:tcPr>
          <w:p w:rsidR="00B90EE1" w:rsidRDefault="003A231F">
            <w:pPr>
              <w:rPr>
                <w:noProof/>
              </w:rPr>
            </w:pPr>
            <w:r>
              <w:rPr>
                <w:noProof/>
                <w:sz w:val="20"/>
              </w:rPr>
              <w:t>Uveďte spolufinancujúci subjekt</w:t>
            </w:r>
            <w:r>
              <w:rPr>
                <w:i/>
                <w:noProof/>
                <w:sz w:val="20"/>
              </w:rPr>
              <w:t xml:space="preserve"> </w:t>
            </w:r>
          </w:p>
        </w:tc>
        <w:tc>
          <w:tcPr>
            <w:tcW w:w="964" w:type="dxa"/>
            <w:vAlign w:val="center"/>
          </w:tcPr>
          <w:p w:rsidR="00B90EE1" w:rsidRDefault="00B90EE1">
            <w:pPr>
              <w:spacing w:before="60" w:after="60"/>
              <w:jc w:val="center"/>
              <w:rPr>
                <w:noProof/>
                <w:sz w:val="20"/>
              </w:rPr>
            </w:pPr>
          </w:p>
        </w:tc>
        <w:tc>
          <w:tcPr>
            <w:tcW w:w="964" w:type="dxa"/>
            <w:vAlign w:val="center"/>
          </w:tcPr>
          <w:p w:rsidR="00B90EE1" w:rsidRDefault="00B90EE1">
            <w:pPr>
              <w:spacing w:before="60" w:after="60"/>
              <w:jc w:val="center"/>
              <w:rPr>
                <w:noProof/>
                <w:sz w:val="20"/>
              </w:rPr>
            </w:pPr>
          </w:p>
        </w:tc>
        <w:tc>
          <w:tcPr>
            <w:tcW w:w="964" w:type="dxa"/>
            <w:vAlign w:val="center"/>
          </w:tcPr>
          <w:p w:rsidR="00B90EE1" w:rsidRDefault="00B90EE1">
            <w:pPr>
              <w:spacing w:before="60" w:after="60"/>
              <w:jc w:val="center"/>
              <w:rPr>
                <w:noProof/>
                <w:sz w:val="20"/>
              </w:rPr>
            </w:pPr>
          </w:p>
        </w:tc>
        <w:tc>
          <w:tcPr>
            <w:tcW w:w="964" w:type="dxa"/>
            <w:vAlign w:val="center"/>
          </w:tcPr>
          <w:p w:rsidR="00B90EE1" w:rsidRDefault="00B90EE1">
            <w:pPr>
              <w:spacing w:before="60" w:after="60"/>
              <w:jc w:val="center"/>
              <w:rPr>
                <w:noProof/>
                <w:sz w:val="20"/>
              </w:rPr>
            </w:pPr>
          </w:p>
        </w:tc>
        <w:tc>
          <w:tcPr>
            <w:tcW w:w="964" w:type="dxa"/>
            <w:vAlign w:val="center"/>
          </w:tcPr>
          <w:p w:rsidR="00B90EE1" w:rsidRDefault="00B90EE1">
            <w:pPr>
              <w:spacing w:before="60" w:after="60"/>
              <w:jc w:val="center"/>
              <w:rPr>
                <w:noProof/>
                <w:sz w:val="20"/>
              </w:rPr>
            </w:pPr>
          </w:p>
        </w:tc>
        <w:tc>
          <w:tcPr>
            <w:tcW w:w="964" w:type="dxa"/>
            <w:vAlign w:val="center"/>
          </w:tcPr>
          <w:p w:rsidR="00B90EE1" w:rsidRDefault="00B90EE1">
            <w:pPr>
              <w:spacing w:before="60" w:after="60"/>
              <w:jc w:val="center"/>
              <w:rPr>
                <w:noProof/>
                <w:sz w:val="20"/>
              </w:rPr>
            </w:pPr>
          </w:p>
        </w:tc>
        <w:tc>
          <w:tcPr>
            <w:tcW w:w="964" w:type="dxa"/>
            <w:vAlign w:val="center"/>
          </w:tcPr>
          <w:p w:rsidR="00B90EE1" w:rsidRDefault="00B90EE1">
            <w:pPr>
              <w:spacing w:before="60" w:after="60"/>
              <w:jc w:val="center"/>
              <w:rPr>
                <w:noProof/>
                <w:sz w:val="20"/>
              </w:rPr>
            </w:pPr>
          </w:p>
        </w:tc>
        <w:tc>
          <w:tcPr>
            <w:tcW w:w="1158" w:type="dxa"/>
            <w:vAlign w:val="center"/>
          </w:tcPr>
          <w:p w:rsidR="00B90EE1" w:rsidRDefault="00B90EE1">
            <w:pPr>
              <w:spacing w:before="60" w:after="60"/>
              <w:jc w:val="center"/>
              <w:rPr>
                <w:noProof/>
                <w:sz w:val="20"/>
              </w:rPr>
            </w:pPr>
          </w:p>
        </w:tc>
      </w:tr>
      <w:tr w:rsidR="00B90EE1">
        <w:trPr>
          <w:cantSplit/>
        </w:trPr>
        <w:tc>
          <w:tcPr>
            <w:tcW w:w="2340" w:type="dxa"/>
          </w:tcPr>
          <w:p w:rsidR="00B90EE1" w:rsidRDefault="003A231F">
            <w:pPr>
              <w:spacing w:before="60" w:after="60"/>
              <w:jc w:val="left"/>
              <w:rPr>
                <w:noProof/>
                <w:sz w:val="20"/>
              </w:rPr>
            </w:pPr>
            <w:r>
              <w:rPr>
                <w:noProof/>
                <w:sz w:val="20"/>
              </w:rPr>
              <w:t xml:space="preserve">Prostriedky zo spolufinancovania SPOLU </w:t>
            </w:r>
          </w:p>
        </w:tc>
        <w:tc>
          <w:tcPr>
            <w:tcW w:w="964" w:type="dxa"/>
            <w:vAlign w:val="center"/>
          </w:tcPr>
          <w:p w:rsidR="00B90EE1" w:rsidRDefault="00B90EE1">
            <w:pPr>
              <w:spacing w:before="60" w:after="60"/>
              <w:jc w:val="center"/>
              <w:rPr>
                <w:noProof/>
                <w:sz w:val="20"/>
              </w:rPr>
            </w:pPr>
          </w:p>
        </w:tc>
        <w:tc>
          <w:tcPr>
            <w:tcW w:w="964" w:type="dxa"/>
            <w:vAlign w:val="center"/>
          </w:tcPr>
          <w:p w:rsidR="00B90EE1" w:rsidRDefault="00B90EE1">
            <w:pPr>
              <w:spacing w:before="60" w:after="60"/>
              <w:jc w:val="center"/>
              <w:rPr>
                <w:noProof/>
                <w:sz w:val="20"/>
              </w:rPr>
            </w:pPr>
          </w:p>
        </w:tc>
        <w:tc>
          <w:tcPr>
            <w:tcW w:w="964" w:type="dxa"/>
            <w:vAlign w:val="center"/>
          </w:tcPr>
          <w:p w:rsidR="00B90EE1" w:rsidRDefault="00B90EE1">
            <w:pPr>
              <w:spacing w:before="60" w:after="60"/>
              <w:jc w:val="center"/>
              <w:rPr>
                <w:noProof/>
                <w:sz w:val="20"/>
              </w:rPr>
            </w:pPr>
          </w:p>
        </w:tc>
        <w:tc>
          <w:tcPr>
            <w:tcW w:w="964" w:type="dxa"/>
            <w:vAlign w:val="center"/>
          </w:tcPr>
          <w:p w:rsidR="00B90EE1" w:rsidRDefault="00B90EE1">
            <w:pPr>
              <w:spacing w:before="60" w:after="60"/>
              <w:jc w:val="center"/>
              <w:rPr>
                <w:noProof/>
                <w:sz w:val="20"/>
              </w:rPr>
            </w:pPr>
          </w:p>
        </w:tc>
        <w:tc>
          <w:tcPr>
            <w:tcW w:w="964" w:type="dxa"/>
            <w:vAlign w:val="center"/>
          </w:tcPr>
          <w:p w:rsidR="00B90EE1" w:rsidRDefault="00B90EE1">
            <w:pPr>
              <w:spacing w:before="60" w:after="60"/>
              <w:jc w:val="center"/>
              <w:rPr>
                <w:noProof/>
                <w:sz w:val="20"/>
              </w:rPr>
            </w:pPr>
          </w:p>
        </w:tc>
        <w:tc>
          <w:tcPr>
            <w:tcW w:w="964" w:type="dxa"/>
            <w:vAlign w:val="center"/>
          </w:tcPr>
          <w:p w:rsidR="00B90EE1" w:rsidRDefault="00B90EE1">
            <w:pPr>
              <w:spacing w:before="60" w:after="60"/>
              <w:jc w:val="center"/>
              <w:rPr>
                <w:noProof/>
                <w:sz w:val="20"/>
              </w:rPr>
            </w:pPr>
          </w:p>
        </w:tc>
        <w:tc>
          <w:tcPr>
            <w:tcW w:w="964" w:type="dxa"/>
            <w:vAlign w:val="center"/>
          </w:tcPr>
          <w:p w:rsidR="00B90EE1" w:rsidRDefault="00B90EE1">
            <w:pPr>
              <w:spacing w:before="60" w:after="60"/>
              <w:jc w:val="center"/>
              <w:rPr>
                <w:noProof/>
                <w:sz w:val="20"/>
              </w:rPr>
            </w:pPr>
          </w:p>
        </w:tc>
        <w:tc>
          <w:tcPr>
            <w:tcW w:w="1158" w:type="dxa"/>
            <w:vAlign w:val="center"/>
          </w:tcPr>
          <w:p w:rsidR="00B90EE1" w:rsidRDefault="00B90EE1">
            <w:pPr>
              <w:spacing w:before="60" w:after="60"/>
              <w:jc w:val="center"/>
              <w:rPr>
                <w:noProof/>
                <w:sz w:val="20"/>
              </w:rPr>
            </w:pPr>
          </w:p>
        </w:tc>
      </w:tr>
    </w:tbl>
    <w:p w:rsidR="00B90EE1" w:rsidRDefault="003A231F">
      <w:pPr>
        <w:rPr>
          <w:noProof/>
        </w:rPr>
      </w:pPr>
      <w:r>
        <w:rPr>
          <w:noProof/>
        </w:rPr>
        <w:br/>
      </w:r>
    </w:p>
    <w:p w:rsidR="00B90EE1" w:rsidRDefault="003A231F">
      <w:pPr>
        <w:pStyle w:val="ManualHeading2"/>
        <w:rPr>
          <w:noProof/>
        </w:rPr>
      </w:pPr>
      <w:r>
        <w:rPr>
          <w:noProof/>
        </w:rPr>
        <w:br w:type="page"/>
      </w:r>
      <w:r>
        <w:rPr>
          <w:noProof/>
        </w:rPr>
        <w:lastRenderedPageBreak/>
        <w:t>3.3.</w:t>
      </w:r>
      <w:r>
        <w:rPr>
          <w:noProof/>
        </w:rPr>
        <w:tab/>
        <w:t>Odhadovaný vplyv na príjmy</w:t>
      </w:r>
    </w:p>
    <w:p w:rsidR="00B90EE1" w:rsidRDefault="003A231F">
      <w:pPr>
        <w:pStyle w:val="ListDash1"/>
        <w:rPr>
          <w:noProof/>
        </w:rPr>
      </w:pPr>
      <w:r>
        <w:rPr>
          <w:noProof/>
        </w:rPr>
        <w:t>X</w:t>
      </w:r>
      <w:r>
        <w:rPr>
          <w:noProof/>
        </w:rPr>
        <w:tab/>
        <w:t>Návrh/iniciatíva nemá finančný vplyv na príjmy.</w:t>
      </w:r>
    </w:p>
    <w:p w:rsidR="00B90EE1" w:rsidRDefault="003A231F">
      <w:pPr>
        <w:pStyle w:val="ListDash1"/>
        <w:rPr>
          <w:noProof/>
        </w:rPr>
      </w:pPr>
      <w:r>
        <w:rPr>
          <w:noProof/>
        </w:rPr>
        <w:sym w:font="Wingdings" w:char="F0A8"/>
      </w:r>
      <w:r>
        <w:rPr>
          <w:noProof/>
        </w:rPr>
        <w:tab/>
        <w:t xml:space="preserve">Návrh/iniciatíva má finančný vplyv na príjmy, ako je </w:t>
      </w:r>
      <w:r>
        <w:rPr>
          <w:noProof/>
        </w:rPr>
        <w:t>uvedené v nasledujúcej tabuľke:</w:t>
      </w:r>
    </w:p>
    <w:p w:rsidR="00B90EE1" w:rsidRDefault="003A231F">
      <w:pPr>
        <w:pStyle w:val="Tiret2"/>
        <w:numPr>
          <w:ilvl w:val="0"/>
          <w:numId w:val="16"/>
        </w:numPr>
        <w:rPr>
          <w:noProof/>
        </w:rPr>
      </w:pPr>
      <w:r>
        <w:rPr>
          <w:noProof/>
        </w:rPr>
        <w:sym w:font="Wingdings" w:char="F0A8"/>
      </w:r>
      <w:r>
        <w:rPr>
          <w:noProof/>
        </w:rPr>
        <w:tab/>
        <w:t>vplyv na vlastné zdroje</w:t>
      </w:r>
    </w:p>
    <w:p w:rsidR="00B90EE1" w:rsidRDefault="003A231F">
      <w:pPr>
        <w:pStyle w:val="Tiret2"/>
        <w:rPr>
          <w:noProof/>
        </w:rPr>
      </w:pPr>
      <w:r>
        <w:rPr>
          <w:noProof/>
        </w:rPr>
        <w:sym w:font="Wingdings" w:char="F0A8"/>
      </w:r>
      <w:r>
        <w:rPr>
          <w:noProof/>
        </w:rPr>
        <w:tab/>
        <w:t>vplyv na rôzne príjmy</w:t>
      </w:r>
    </w:p>
    <w:p w:rsidR="00B90EE1" w:rsidRDefault="003A231F">
      <w:pPr>
        <w:jc w:val="right"/>
        <w:rPr>
          <w:i/>
          <w:noProof/>
          <w:sz w:val="20"/>
        </w:rPr>
      </w:pPr>
      <w:r>
        <w:rPr>
          <w:noProof/>
        </w:rPr>
        <w:t>v mil. EUR (zaokrúhlené na 3 desatinné miesta)</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rsidR="00B90EE1">
        <w:trPr>
          <w:trHeight w:val="388"/>
        </w:trPr>
        <w:tc>
          <w:tcPr>
            <w:tcW w:w="2144" w:type="dxa"/>
            <w:vMerge w:val="restart"/>
            <w:vAlign w:val="center"/>
          </w:tcPr>
          <w:p w:rsidR="00B90EE1" w:rsidRDefault="003A231F">
            <w:pPr>
              <w:spacing w:before="40" w:after="40"/>
              <w:rPr>
                <w:noProof/>
                <w:sz w:val="18"/>
              </w:rPr>
            </w:pPr>
            <w:r>
              <w:rPr>
                <w:noProof/>
                <w:sz w:val="18"/>
              </w:rPr>
              <w:t>Rozpočtový riadok príjmov:</w:t>
            </w:r>
          </w:p>
        </w:tc>
        <w:tc>
          <w:tcPr>
            <w:tcW w:w="1276" w:type="dxa"/>
            <w:vMerge w:val="restart"/>
            <w:vAlign w:val="center"/>
          </w:tcPr>
          <w:p w:rsidR="00B90EE1" w:rsidRDefault="003A231F">
            <w:pPr>
              <w:jc w:val="center"/>
              <w:rPr>
                <w:noProof/>
                <w:sz w:val="18"/>
              </w:rPr>
            </w:pPr>
            <w:r>
              <w:rPr>
                <w:noProof/>
                <w:sz w:val="18"/>
              </w:rPr>
              <w:t>Rozpočtové prostriedky k dispozícii v prebiehajúcom rozpočtovom roku</w:t>
            </w:r>
          </w:p>
        </w:tc>
        <w:tc>
          <w:tcPr>
            <w:tcW w:w="7200" w:type="dxa"/>
            <w:gridSpan w:val="7"/>
            <w:vAlign w:val="center"/>
          </w:tcPr>
          <w:p w:rsidR="00B90EE1" w:rsidRDefault="003A231F">
            <w:pPr>
              <w:jc w:val="center"/>
              <w:rPr>
                <w:noProof/>
                <w:sz w:val="18"/>
              </w:rPr>
            </w:pPr>
            <w:r>
              <w:rPr>
                <w:noProof/>
                <w:sz w:val="18"/>
              </w:rPr>
              <w:t>Vplyv návrhu/iniciatívy</w:t>
            </w:r>
            <w:r>
              <w:rPr>
                <w:rStyle w:val="Odkaznapoznmkupodiarou"/>
                <w:noProof/>
                <w:sz w:val="18"/>
              </w:rPr>
              <w:footnoteReference w:id="40"/>
            </w:r>
          </w:p>
        </w:tc>
      </w:tr>
      <w:tr w:rsidR="00B90EE1">
        <w:trPr>
          <w:trHeight w:val="388"/>
        </w:trPr>
        <w:tc>
          <w:tcPr>
            <w:tcW w:w="2144" w:type="dxa"/>
            <w:vMerge/>
          </w:tcPr>
          <w:p w:rsidR="00B90EE1" w:rsidRDefault="00B90EE1">
            <w:pPr>
              <w:spacing w:before="40" w:after="40"/>
              <w:rPr>
                <w:noProof/>
                <w:sz w:val="18"/>
              </w:rPr>
            </w:pPr>
          </w:p>
        </w:tc>
        <w:tc>
          <w:tcPr>
            <w:tcW w:w="1276" w:type="dxa"/>
            <w:vMerge/>
          </w:tcPr>
          <w:p w:rsidR="00B90EE1" w:rsidRDefault="00B90EE1">
            <w:pPr>
              <w:spacing w:beforeLines="40" w:before="96" w:afterLines="40" w:after="96"/>
              <w:rPr>
                <w:i/>
                <w:noProof/>
                <w:sz w:val="18"/>
              </w:rPr>
            </w:pPr>
          </w:p>
        </w:tc>
        <w:tc>
          <w:tcPr>
            <w:tcW w:w="1080" w:type="dxa"/>
            <w:vAlign w:val="center"/>
          </w:tcPr>
          <w:p w:rsidR="00B90EE1" w:rsidRDefault="003A231F">
            <w:pPr>
              <w:jc w:val="center"/>
              <w:rPr>
                <w:noProof/>
                <w:sz w:val="18"/>
              </w:rPr>
            </w:pPr>
            <w:r>
              <w:rPr>
                <w:noProof/>
                <w:sz w:val="18"/>
              </w:rPr>
              <w:t>Rok</w:t>
            </w:r>
            <w:r>
              <w:rPr>
                <w:noProof/>
                <w:sz w:val="22"/>
              </w:rPr>
              <w:br/>
            </w:r>
            <w:r>
              <w:rPr>
                <w:b/>
                <w:noProof/>
                <w:sz w:val="18"/>
              </w:rPr>
              <w:t>N</w:t>
            </w:r>
          </w:p>
        </w:tc>
        <w:tc>
          <w:tcPr>
            <w:tcW w:w="900" w:type="dxa"/>
            <w:vAlign w:val="center"/>
          </w:tcPr>
          <w:p w:rsidR="00B90EE1" w:rsidRDefault="003A231F">
            <w:pPr>
              <w:jc w:val="center"/>
              <w:rPr>
                <w:noProof/>
                <w:sz w:val="18"/>
              </w:rPr>
            </w:pPr>
            <w:r>
              <w:rPr>
                <w:noProof/>
                <w:sz w:val="18"/>
              </w:rPr>
              <w:t>Rok</w:t>
            </w:r>
            <w:r>
              <w:rPr>
                <w:noProof/>
                <w:sz w:val="22"/>
              </w:rPr>
              <w:br/>
            </w:r>
            <w:r>
              <w:rPr>
                <w:b/>
                <w:noProof/>
                <w:sz w:val="18"/>
              </w:rPr>
              <w:t>N + 1</w:t>
            </w:r>
          </w:p>
        </w:tc>
        <w:tc>
          <w:tcPr>
            <w:tcW w:w="900" w:type="dxa"/>
            <w:vAlign w:val="center"/>
          </w:tcPr>
          <w:p w:rsidR="00B90EE1" w:rsidRDefault="003A231F">
            <w:pPr>
              <w:jc w:val="center"/>
              <w:rPr>
                <w:noProof/>
                <w:sz w:val="18"/>
              </w:rPr>
            </w:pPr>
            <w:r>
              <w:rPr>
                <w:noProof/>
                <w:sz w:val="18"/>
              </w:rPr>
              <w:t>Rok</w:t>
            </w:r>
            <w:r>
              <w:rPr>
                <w:noProof/>
                <w:sz w:val="22"/>
              </w:rPr>
              <w:br/>
            </w:r>
            <w:r>
              <w:rPr>
                <w:b/>
                <w:noProof/>
                <w:sz w:val="18"/>
              </w:rPr>
              <w:t>N + 2</w:t>
            </w:r>
          </w:p>
        </w:tc>
        <w:tc>
          <w:tcPr>
            <w:tcW w:w="1080" w:type="dxa"/>
            <w:vAlign w:val="center"/>
          </w:tcPr>
          <w:p w:rsidR="00B90EE1" w:rsidRDefault="003A231F">
            <w:pPr>
              <w:jc w:val="center"/>
              <w:rPr>
                <w:noProof/>
                <w:sz w:val="18"/>
              </w:rPr>
            </w:pPr>
            <w:r>
              <w:rPr>
                <w:noProof/>
                <w:sz w:val="18"/>
              </w:rPr>
              <w:t>Rok</w:t>
            </w:r>
            <w:r>
              <w:rPr>
                <w:noProof/>
                <w:sz w:val="22"/>
              </w:rPr>
              <w:br/>
            </w:r>
            <w:r>
              <w:rPr>
                <w:b/>
                <w:noProof/>
                <w:sz w:val="18"/>
              </w:rPr>
              <w:t>N + 3</w:t>
            </w:r>
          </w:p>
        </w:tc>
        <w:tc>
          <w:tcPr>
            <w:tcW w:w="3240" w:type="dxa"/>
            <w:gridSpan w:val="3"/>
            <w:vAlign w:val="center"/>
          </w:tcPr>
          <w:p w:rsidR="00B90EE1" w:rsidRDefault="003A231F">
            <w:pPr>
              <w:jc w:val="center"/>
              <w:rPr>
                <w:b/>
                <w:noProof/>
                <w:sz w:val="18"/>
              </w:rPr>
            </w:pPr>
            <w:r>
              <w:rPr>
                <w:noProof/>
                <w:sz w:val="18"/>
              </w:rPr>
              <w:t>Uveďte všetky roky, počas ktorých vplyv trvá (pozri bod 1.6)</w:t>
            </w:r>
          </w:p>
        </w:tc>
      </w:tr>
      <w:tr w:rsidR="00B90EE1">
        <w:trPr>
          <w:trHeight w:val="388"/>
        </w:trPr>
        <w:tc>
          <w:tcPr>
            <w:tcW w:w="2144" w:type="dxa"/>
            <w:vAlign w:val="center"/>
          </w:tcPr>
          <w:p w:rsidR="00B90EE1" w:rsidRDefault="003A231F">
            <w:pPr>
              <w:spacing w:before="40" w:after="40"/>
              <w:rPr>
                <w:noProof/>
                <w:sz w:val="18"/>
              </w:rPr>
            </w:pPr>
            <w:r>
              <w:rPr>
                <w:noProof/>
                <w:sz w:val="18"/>
              </w:rPr>
              <w:t>Článok ………….</w:t>
            </w:r>
          </w:p>
        </w:tc>
        <w:tc>
          <w:tcPr>
            <w:tcW w:w="1276" w:type="dxa"/>
          </w:tcPr>
          <w:p w:rsidR="00B90EE1" w:rsidRDefault="00B90EE1">
            <w:pPr>
              <w:spacing w:beforeLines="40" w:before="96" w:afterLines="40" w:after="96"/>
              <w:jc w:val="center"/>
              <w:rPr>
                <w:i/>
                <w:noProof/>
                <w:sz w:val="18"/>
              </w:rPr>
            </w:pPr>
          </w:p>
        </w:tc>
        <w:tc>
          <w:tcPr>
            <w:tcW w:w="1080" w:type="dxa"/>
          </w:tcPr>
          <w:p w:rsidR="00B90EE1" w:rsidRDefault="00B90EE1">
            <w:pPr>
              <w:spacing w:beforeLines="40" w:before="96" w:afterLines="40" w:after="96"/>
              <w:jc w:val="center"/>
              <w:rPr>
                <w:noProof/>
                <w:sz w:val="18"/>
              </w:rPr>
            </w:pPr>
          </w:p>
        </w:tc>
        <w:tc>
          <w:tcPr>
            <w:tcW w:w="900" w:type="dxa"/>
          </w:tcPr>
          <w:p w:rsidR="00B90EE1" w:rsidRDefault="00B90EE1">
            <w:pPr>
              <w:spacing w:beforeLines="40" w:before="96" w:afterLines="40" w:after="96"/>
              <w:jc w:val="center"/>
              <w:rPr>
                <w:noProof/>
                <w:sz w:val="18"/>
              </w:rPr>
            </w:pPr>
          </w:p>
        </w:tc>
        <w:tc>
          <w:tcPr>
            <w:tcW w:w="900" w:type="dxa"/>
          </w:tcPr>
          <w:p w:rsidR="00B90EE1" w:rsidRDefault="00B90EE1">
            <w:pPr>
              <w:spacing w:beforeLines="40" w:before="96" w:afterLines="40" w:after="96"/>
              <w:jc w:val="center"/>
              <w:rPr>
                <w:noProof/>
                <w:sz w:val="18"/>
              </w:rPr>
            </w:pPr>
          </w:p>
        </w:tc>
        <w:tc>
          <w:tcPr>
            <w:tcW w:w="1080" w:type="dxa"/>
          </w:tcPr>
          <w:p w:rsidR="00B90EE1" w:rsidRDefault="00B90EE1">
            <w:pPr>
              <w:spacing w:beforeLines="40" w:before="96" w:afterLines="40" w:after="96"/>
              <w:jc w:val="center"/>
              <w:rPr>
                <w:noProof/>
                <w:sz w:val="18"/>
              </w:rPr>
            </w:pPr>
          </w:p>
        </w:tc>
        <w:tc>
          <w:tcPr>
            <w:tcW w:w="1080" w:type="dxa"/>
          </w:tcPr>
          <w:p w:rsidR="00B90EE1" w:rsidRDefault="00B90EE1">
            <w:pPr>
              <w:spacing w:beforeLines="40" w:before="96" w:afterLines="40" w:after="96"/>
              <w:jc w:val="center"/>
              <w:rPr>
                <w:noProof/>
                <w:sz w:val="18"/>
              </w:rPr>
            </w:pPr>
          </w:p>
        </w:tc>
        <w:tc>
          <w:tcPr>
            <w:tcW w:w="1080" w:type="dxa"/>
          </w:tcPr>
          <w:p w:rsidR="00B90EE1" w:rsidRDefault="00B90EE1">
            <w:pPr>
              <w:spacing w:beforeLines="40" w:before="96" w:afterLines="40" w:after="96"/>
              <w:jc w:val="center"/>
              <w:rPr>
                <w:noProof/>
                <w:sz w:val="18"/>
              </w:rPr>
            </w:pPr>
          </w:p>
        </w:tc>
        <w:tc>
          <w:tcPr>
            <w:tcW w:w="1080" w:type="dxa"/>
          </w:tcPr>
          <w:p w:rsidR="00B90EE1" w:rsidRDefault="00B90EE1">
            <w:pPr>
              <w:spacing w:beforeLines="40" w:before="96" w:afterLines="40" w:after="96"/>
              <w:jc w:val="center"/>
              <w:rPr>
                <w:noProof/>
                <w:sz w:val="18"/>
              </w:rPr>
            </w:pPr>
          </w:p>
        </w:tc>
      </w:tr>
    </w:tbl>
    <w:p w:rsidR="00B90EE1" w:rsidRDefault="003A231F">
      <w:pPr>
        <w:pStyle w:val="Text1"/>
        <w:rPr>
          <w:noProof/>
          <w:sz w:val="20"/>
        </w:rPr>
      </w:pPr>
      <w:r>
        <w:rPr>
          <w:noProof/>
          <w:sz w:val="20"/>
        </w:rPr>
        <w:t>V prípade rôznych pripísaných príjmov uveďte príslušné rozpočtové riadky výdavkov.</w:t>
      </w:r>
    </w:p>
    <w:p w:rsidR="00B90EE1" w:rsidRDefault="003A231F">
      <w:pPr>
        <w:pStyle w:val="Text1"/>
        <w:rPr>
          <w:noProof/>
          <w:sz w:val="20"/>
        </w:rPr>
      </w:pPr>
      <w:r>
        <w:rPr>
          <w:noProof/>
          <w:sz w:val="20"/>
        </w:rPr>
        <w:t>Uveďte spôsob výpočtu vplyvu na príjmy.</w:t>
      </w:r>
    </w:p>
    <w:p w:rsidR="00B90EE1" w:rsidRDefault="00B90EE1">
      <w:pPr>
        <w:pStyle w:val="Text1"/>
        <w:rPr>
          <w:noProof/>
        </w:rPr>
      </w:pPr>
    </w:p>
    <w:sectPr w:rsidR="00B90EE1">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231F" w:rsidRDefault="003A231F">
      <w:pPr>
        <w:spacing w:before="0" w:after="0"/>
      </w:pPr>
      <w:r>
        <w:separator/>
      </w:r>
    </w:p>
  </w:endnote>
  <w:endnote w:type="continuationSeparator" w:id="0">
    <w:p w:rsidR="003A231F" w:rsidRDefault="003A23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EE1" w:rsidRDefault="003A231F">
    <w:pPr>
      <w:pStyle w:val="Pta"/>
      <w:rPr>
        <w:rFonts w:ascii="Arial" w:hAnsi="Arial" w:cs="Arial"/>
        <w:b/>
        <w:sz w:val="48"/>
      </w:rPr>
    </w:pPr>
    <w:r>
      <w:rPr>
        <w:rFonts w:ascii="Arial" w:hAnsi="Arial" w:cs="Arial"/>
        <w:b/>
        <w:sz w:val="48"/>
      </w:rPr>
      <w:t>SK</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proofErr w:type="spellStart"/>
    <w:r>
      <w:rPr>
        <w:rFonts w:ascii="Arial" w:hAnsi="Arial" w:cs="Arial"/>
        <w:b/>
        <w:sz w:val="48"/>
      </w:rPr>
      <w:t>SK</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EE1" w:rsidRDefault="003A231F">
    <w:pPr>
      <w:pStyle w:val="Pta"/>
      <w:rPr>
        <w:rFonts w:ascii="Arial" w:hAnsi="Arial" w:cs="Arial"/>
        <w:b/>
        <w:sz w:val="48"/>
      </w:rPr>
    </w:pPr>
    <w:r>
      <w:rPr>
        <w:rFonts w:ascii="Arial" w:hAnsi="Arial" w:cs="Arial"/>
        <w:b/>
        <w:sz w:val="48"/>
      </w:rPr>
      <w:t>SK</w:t>
    </w:r>
    <w:r>
      <w:rPr>
        <w:rFonts w:ascii="Arial" w:hAnsi="Arial" w:cs="Arial"/>
        <w:b/>
        <w:sz w:val="48"/>
      </w:rPr>
      <w:tab/>
    </w:r>
    <w:r>
      <w:fldChar w:fldCharType="begin"/>
    </w:r>
    <w:r>
      <w:instrText xml:space="preserve"> PAGE  \* MERGEFORMAT </w:instrText>
    </w:r>
    <w:r>
      <w:fldChar w:fldCharType="separate"/>
    </w:r>
    <w:r>
      <w:rPr>
        <w:noProof/>
      </w:rPr>
      <w:t>25</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EE1" w:rsidRDefault="00B90EE1">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EE1" w:rsidRDefault="003A231F">
    <w:pPr>
      <w:pStyle w:val="FooterLandscape"/>
      <w:rPr>
        <w:rFonts w:ascii="Arial" w:hAnsi="Arial" w:cs="Arial"/>
        <w:b/>
        <w:sz w:val="48"/>
      </w:rPr>
    </w:pPr>
    <w:r>
      <w:rPr>
        <w:rFonts w:ascii="Arial" w:hAnsi="Arial" w:cs="Arial"/>
        <w:b/>
        <w:sz w:val="48"/>
      </w:rPr>
      <w:t>SK</w:t>
    </w:r>
    <w:r>
      <w:rPr>
        <w:rFonts w:ascii="Arial" w:hAnsi="Arial" w:cs="Arial"/>
        <w:b/>
        <w:sz w:val="48"/>
      </w:rPr>
      <w:tab/>
    </w:r>
    <w:r>
      <w:fldChar w:fldCharType="begin"/>
    </w:r>
    <w:r>
      <w:instrText xml:space="preserve"> PAGE  \* MERGEFORMAT </w:instrText>
    </w:r>
    <w:r>
      <w:fldChar w:fldCharType="separate"/>
    </w:r>
    <w:r>
      <w:rPr>
        <w:noProof/>
      </w:rPr>
      <w:t>18</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SK</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EE1" w:rsidRDefault="00B90EE1">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EE1" w:rsidRDefault="003A231F">
    <w:pPr>
      <w:pStyle w:val="Pta"/>
      <w:rPr>
        <w:rFonts w:ascii="Arial" w:hAnsi="Arial" w:cs="Arial"/>
        <w:b/>
        <w:sz w:val="48"/>
      </w:rPr>
    </w:pPr>
    <w:r>
      <w:rPr>
        <w:rFonts w:ascii="Arial" w:hAnsi="Arial" w:cs="Arial"/>
        <w:b/>
        <w:sz w:val="48"/>
      </w:rPr>
      <w:t>SK</w:t>
    </w:r>
    <w:r>
      <w:rPr>
        <w:rFonts w:ascii="Arial" w:hAnsi="Arial" w:cs="Arial"/>
        <w:b/>
        <w:sz w:val="48"/>
      </w:rPr>
      <w:tab/>
    </w:r>
    <w:r>
      <w:fldChar w:fldCharType="begin"/>
    </w:r>
    <w:r>
      <w:instrText xml:space="preserve"> PAGE  \* MERGEFORMAT </w:instrText>
    </w:r>
    <w:r>
      <w:fldChar w:fldCharType="separate"/>
    </w:r>
    <w:r>
      <w:rPr>
        <w:noProof/>
      </w:rPr>
      <w:t>23</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SK</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EE1" w:rsidRDefault="00B90EE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231F" w:rsidRDefault="003A231F">
      <w:pPr>
        <w:spacing w:before="0" w:after="0"/>
      </w:pPr>
      <w:r>
        <w:separator/>
      </w:r>
    </w:p>
  </w:footnote>
  <w:footnote w:type="continuationSeparator" w:id="0">
    <w:p w:rsidR="003A231F" w:rsidRDefault="003A231F">
      <w:pPr>
        <w:spacing w:before="0" w:after="0"/>
      </w:pPr>
      <w:r>
        <w:continuationSeparator/>
      </w:r>
    </w:p>
  </w:footnote>
  <w:footnote w:id="1">
    <w:p w:rsidR="00B90EE1" w:rsidRDefault="003A231F">
      <w:pPr>
        <w:pStyle w:val="Textpoznmkypodiarou"/>
      </w:pPr>
      <w:r>
        <w:rPr>
          <w:rStyle w:val="Odkaznapoznmkupodiarou"/>
        </w:rPr>
        <w:footnoteRef/>
      </w:r>
      <w:r>
        <w:tab/>
      </w:r>
      <w:r>
        <w:t>Mechanizmus, ktorý štátu umožňuje monitorovať zahraničné investície v podnikoch/odvetviach považovaných za strategicky významné a za určitých podmienok sa postaviť proti nim.</w:t>
      </w:r>
    </w:p>
  </w:footnote>
  <w:footnote w:id="2">
    <w:p w:rsidR="00B90EE1" w:rsidRDefault="003A231F">
      <w:pPr>
        <w:pStyle w:val="Textpoznmkypodiarou"/>
      </w:pPr>
      <w:r>
        <w:rPr>
          <w:rStyle w:val="Odkaznapoznmkupodiarou"/>
        </w:rPr>
        <w:footnoteRef/>
      </w:r>
      <w:r>
        <w:tab/>
      </w:r>
      <w:r>
        <w:t>Týmito úvahami nie je dotknutá otázka úplnej zlučiteľnosti všetkých mechanizmov</w:t>
      </w:r>
      <w:r>
        <w:t xml:space="preserve"> preverovania s právom Únie.</w:t>
      </w:r>
    </w:p>
  </w:footnote>
  <w:footnote w:id="3">
    <w:p w:rsidR="00B90EE1" w:rsidRDefault="003A231F">
      <w:pPr>
        <w:pStyle w:val="Textpoznmkypodiarou"/>
      </w:pPr>
      <w:r>
        <w:rPr>
          <w:rStyle w:val="Odkaznapoznmkupodiarou"/>
        </w:rPr>
        <w:footnoteRef/>
      </w:r>
      <w:r>
        <w:tab/>
      </w:r>
      <w:r>
        <w:t>COM(2015) 497, 14.10.2015.</w:t>
      </w:r>
    </w:p>
  </w:footnote>
  <w:footnote w:id="4">
    <w:p w:rsidR="00B90EE1" w:rsidRDefault="003A231F">
      <w:pPr>
        <w:pStyle w:val="Textpoznmkypodiarou"/>
      </w:pPr>
      <w:r>
        <w:rPr>
          <w:rStyle w:val="Odkaznapoznmkupodiarou"/>
        </w:rPr>
        <w:footnoteRef/>
      </w:r>
      <w:r>
        <w:tab/>
      </w:r>
      <w:r>
        <w:t>Vec C-265/95, Komisia/Francúzsko („jahody“), bod 33.</w:t>
      </w:r>
    </w:p>
  </w:footnote>
  <w:footnote w:id="5">
    <w:p w:rsidR="00B90EE1" w:rsidRDefault="003A231F">
      <w:pPr>
        <w:pStyle w:val="Textpoznmkypodiarou"/>
      </w:pPr>
      <w:r>
        <w:rPr>
          <w:rStyle w:val="Odkaznapoznmkupodiarou"/>
        </w:rPr>
        <w:footnoteRef/>
      </w:r>
      <w:r>
        <w:tab/>
      </w:r>
      <w:r>
        <w:t>vec C-463/00, Komisia/Španielsko, bod 34; vec C-212/09 Komisia/Portugalsko, bod 83 a vec C-244/11 Komisia/Grécko, bod 67.</w:t>
      </w:r>
    </w:p>
  </w:footnote>
  <w:footnote w:id="6">
    <w:p w:rsidR="00B90EE1" w:rsidRDefault="003A231F">
      <w:pPr>
        <w:pStyle w:val="Textpoznmkypodiarou"/>
      </w:pPr>
      <w:r>
        <w:rPr>
          <w:rStyle w:val="Odkaznapoznmkupodiarou"/>
        </w:rPr>
        <w:footnoteRef/>
      </w:r>
      <w:r>
        <w:tab/>
      </w:r>
      <w:r>
        <w:t xml:space="preserve">Nariadenie Rady </w:t>
      </w:r>
      <w:r>
        <w:t>(ES) č. 139/2004 z 20. januára 2004 o kontrole koncentrácií medzi podnikmi (Ú. v. EÚ L 24, 29.1.2004, s. 1).</w:t>
      </w:r>
    </w:p>
  </w:footnote>
  <w:footnote w:id="7">
    <w:p w:rsidR="00B90EE1" w:rsidRDefault="003A231F">
      <w:pPr>
        <w:pStyle w:val="Textpoznmkypodiarou"/>
      </w:pPr>
      <w:r>
        <w:rPr>
          <w:rStyle w:val="Odkaznapoznmkupodiarou"/>
        </w:rPr>
        <w:footnoteRef/>
      </w:r>
      <w:r>
        <w:tab/>
      </w:r>
      <w:r>
        <w:t xml:space="preserve">S cieľom zabezpečiť hladké fungovanie mechanizmu preverovania priamych zahraničných investícií na vnútroštátnej úrovni a postupu podľa článku 21 </w:t>
      </w:r>
      <w:r>
        <w:t>ods. 4 nariadenia EÚ o fúziách sa zdá užitočné, keby členské štáty uviedli (keď informujú Komisiu a iné členské štáty o začatí postupu preverovania podľa článku 8 ods. 1 navrhovaného nariadenia), či transakcia pravdepodobne patrí do rozsahu pôsobnosti nari</w:t>
      </w:r>
      <w:r>
        <w:t>adenia EÚ o fúziách.</w:t>
      </w:r>
    </w:p>
  </w:footnote>
  <w:footnote w:id="8">
    <w:p w:rsidR="00B90EE1" w:rsidRDefault="003A231F">
      <w:pPr>
        <w:pStyle w:val="Textpoznmkypodiarou"/>
      </w:pPr>
      <w:r>
        <w:rPr>
          <w:rStyle w:val="Odkaznapoznmkupodiarou"/>
        </w:rPr>
        <w:footnoteRef/>
      </w:r>
      <w:r>
        <w:tab/>
      </w:r>
      <w:r>
        <w:t>Smernica Rady 2008/114/ES z 8. decembra 2008 o identifikácii a označení európskych kritických infraštruktúr a zhodnotení potreby zlepšiť ich ochranu (Ú. v. EÚ L 345, 23.12.2008, s. 75).</w:t>
      </w:r>
    </w:p>
  </w:footnote>
  <w:footnote w:id="9">
    <w:p w:rsidR="00B90EE1" w:rsidRDefault="003A231F">
      <w:pPr>
        <w:pStyle w:val="Textpoznmkypodiarou"/>
      </w:pPr>
      <w:r>
        <w:rPr>
          <w:rStyle w:val="Odkaznapoznmkupodiarou"/>
        </w:rPr>
        <w:footnoteRef/>
      </w:r>
      <w:r>
        <w:tab/>
      </w:r>
      <w:r>
        <w:t>Smernica Európskeho parlamentu a Rady 2009/72</w:t>
      </w:r>
      <w:r>
        <w:t>/ES z 13. júla 2009 o spoločných pravidlách pre vnútorný trh s elektrinou, ktorou sa zrušuje smernica 2003/54/ES (Ú. v. EÚ L 211, 14.8.2009, s. 55).</w:t>
      </w:r>
    </w:p>
  </w:footnote>
  <w:footnote w:id="10">
    <w:p w:rsidR="00B90EE1" w:rsidRDefault="003A231F">
      <w:pPr>
        <w:pStyle w:val="Textpoznmkypodiarou"/>
      </w:pPr>
      <w:r>
        <w:rPr>
          <w:rStyle w:val="Odkaznapoznmkupodiarou"/>
        </w:rPr>
        <w:footnoteRef/>
      </w:r>
      <w:r>
        <w:tab/>
      </w:r>
      <w:r>
        <w:t>Smernica Európskeho parlamentu a Rady 2009/73/ES z 13. júla 2009 o spoločných pravidlách pre vnútorný trh</w:t>
      </w:r>
      <w:r>
        <w:t xml:space="preserve"> so zemným plynom, ktorou sa zrušuje smernica 2003/55/ES (Ú. v. EÚ L 211, 14.8.2009, s. 94).</w:t>
      </w:r>
    </w:p>
  </w:footnote>
  <w:footnote w:id="11">
    <w:p w:rsidR="00B90EE1" w:rsidRDefault="003A231F">
      <w:pPr>
        <w:pStyle w:val="Textpoznmkypodiarou"/>
      </w:pPr>
      <w:r>
        <w:rPr>
          <w:rStyle w:val="Odkaznapoznmkupodiarou"/>
        </w:rPr>
        <w:footnoteRef/>
      </w:r>
      <w:r>
        <w:tab/>
      </w:r>
      <w:r>
        <w:t>V procese prijímania sa práve nachádza nové nariadenie, ktorým sa zrušuje nariadenie (EÚ) č. 994/2010. Očakáva sa, že nadobudne účinnosť na jeseň 2017.</w:t>
      </w:r>
    </w:p>
  </w:footnote>
  <w:footnote w:id="12">
    <w:p w:rsidR="00B90EE1" w:rsidRDefault="003A231F">
      <w:pPr>
        <w:pStyle w:val="Textpoznmkypodiarou"/>
      </w:pPr>
      <w:r>
        <w:rPr>
          <w:rStyle w:val="Odkaznapoznmkupodiarou"/>
        </w:rPr>
        <w:footnoteRef/>
      </w:r>
      <w:r>
        <w:tab/>
      </w:r>
      <w:r>
        <w:t>COM(201</w:t>
      </w:r>
      <w:r>
        <w:t>6) 862, návrh nariadenia Európskeho parlamentu a Rady o pripravenosti na riziká v sektore elektrickej energie, ktorým sa zrušuje smernica 2005/89/ES.</w:t>
      </w:r>
    </w:p>
  </w:footnote>
  <w:footnote w:id="13">
    <w:p w:rsidR="00B90EE1" w:rsidRDefault="003A231F">
      <w:pPr>
        <w:pStyle w:val="Textpoznmkypodiarou"/>
      </w:pPr>
      <w:r>
        <w:rPr>
          <w:rStyle w:val="Odkaznapoznmkupodiarou"/>
        </w:rPr>
        <w:footnoteRef/>
      </w:r>
      <w:r>
        <w:tab/>
      </w:r>
      <w:r>
        <w:t xml:space="preserve">Smernica Európskeho parlamentu a Rady (EÚ) 2016/1148 zo 6. júla 2016 o opatreniach na zabezpečenie </w:t>
      </w:r>
      <w:r>
        <w:t>vysokej spoločnej úrovne bezpečnosti sietí a informačných systémov v Únii (Ú. v. EÚ L 194, 19.7.2016, s. 1).</w:t>
      </w:r>
    </w:p>
  </w:footnote>
  <w:footnote w:id="14">
    <w:p w:rsidR="00B90EE1" w:rsidRDefault="003A231F">
      <w:pPr>
        <w:pStyle w:val="Textpoznmkypodiarou"/>
      </w:pPr>
      <w:r>
        <w:rPr>
          <w:rStyle w:val="Odkaznapoznmkupodiarou"/>
        </w:rPr>
        <w:footnoteRef/>
      </w:r>
      <w:r>
        <w:tab/>
      </w:r>
      <w:r>
        <w:t>Oznámenie „Riešenie problémov na komoditných trhoch a trhoch s nerastnými surovinami“ [KOM(2011) 25].</w:t>
      </w:r>
    </w:p>
  </w:footnote>
  <w:footnote w:id="15">
    <w:p w:rsidR="00B90EE1" w:rsidRDefault="003A231F">
      <w:pPr>
        <w:pStyle w:val="Textpoznmkypodiarou"/>
      </w:pPr>
      <w:r>
        <w:rPr>
          <w:rStyle w:val="Odkaznapoznmkupodiarou"/>
        </w:rPr>
        <w:footnoteRef/>
      </w:r>
      <w:r>
        <w:tab/>
      </w:r>
      <w:r>
        <w:t xml:space="preserve">JOIN(2013) 1 </w:t>
      </w:r>
      <w:proofErr w:type="spellStart"/>
      <w:r>
        <w:t>final</w:t>
      </w:r>
      <w:proofErr w:type="spellEnd"/>
      <w:r>
        <w:t>, 7.2.2013.</w:t>
      </w:r>
    </w:p>
  </w:footnote>
  <w:footnote w:id="16">
    <w:p w:rsidR="00B90EE1" w:rsidRDefault="003A231F">
      <w:pPr>
        <w:pStyle w:val="Textpoznmkypodiarou"/>
      </w:pPr>
      <w:r>
        <w:rPr>
          <w:rStyle w:val="Odkaznapoznmkupodiarou"/>
        </w:rPr>
        <w:footnoteRef/>
      </w:r>
      <w:r>
        <w:tab/>
      </w:r>
      <w:r>
        <w:t>Nariadeni</w:t>
      </w:r>
      <w:r>
        <w:t xml:space="preserve">e Európskeho parlamentu a Rady (EÚ) č. 283/2014 z 11. marca 2014 o usmerneniach pre </w:t>
      </w:r>
      <w:proofErr w:type="spellStart"/>
      <w:r>
        <w:t>transeurópske</w:t>
      </w:r>
      <w:proofErr w:type="spellEnd"/>
      <w:r>
        <w:t xml:space="preserve"> siete v oblasti telekomunikačnej infraštruktúry, ktorým sa zrušuje rozhodnutie č. 1336/97/ES (Ú. v. EÚ L 86, 21.3.2014, s. 14).</w:t>
      </w:r>
    </w:p>
  </w:footnote>
  <w:footnote w:id="17">
    <w:p w:rsidR="00B90EE1" w:rsidRDefault="003A231F">
      <w:pPr>
        <w:pStyle w:val="Textpoznmkypodiarou"/>
      </w:pPr>
      <w:r>
        <w:rPr>
          <w:rStyle w:val="Odkaznapoznmkupodiarou"/>
        </w:rPr>
        <w:footnoteRef/>
      </w:r>
      <w:r>
        <w:tab/>
      </w:r>
      <w:r>
        <w:t>Smernica Európskeho parlamen</w:t>
      </w:r>
      <w:r>
        <w:t>tu a Rady (EÚ) 2016/1148 zo 6. júla 2016 o opatreniach na zabezpečenie vysokej spoločnej úrovne bezpečnosti sietí a informačných systémov v Únii.</w:t>
      </w:r>
    </w:p>
  </w:footnote>
  <w:footnote w:id="18">
    <w:p w:rsidR="00B90EE1" w:rsidRDefault="003A231F">
      <w:pPr>
        <w:pStyle w:val="Textpoznmkypodiarou"/>
      </w:pPr>
      <w:r>
        <w:rPr>
          <w:rStyle w:val="Odkaznapoznmkupodiarou"/>
        </w:rPr>
        <w:footnoteRef/>
      </w:r>
      <w:r>
        <w:tab/>
      </w:r>
      <w:r>
        <w:t>Oznámenie Komisie COM(2016) 410 – Posilnenie odolnosti kybernetického systému a podpora konkurencieschopného</w:t>
      </w:r>
      <w:r>
        <w:t xml:space="preserve"> a inovačného odvetvia kybernetickej bezpečnosti v Európe.</w:t>
      </w:r>
    </w:p>
  </w:footnote>
  <w:footnote w:id="19">
    <w:p w:rsidR="00B90EE1" w:rsidRDefault="003A231F">
      <w:pPr>
        <w:pStyle w:val="Textpoznmkypodiarou"/>
      </w:pPr>
      <w:r>
        <w:rPr>
          <w:rStyle w:val="Odkaznapoznmkupodiarou"/>
        </w:rPr>
        <w:footnoteRef/>
      </w:r>
      <w:r>
        <w:tab/>
      </w:r>
      <w:r>
        <w:t xml:space="preserve">Nariadenie Európskeho parlamentu a Rady (EÚ) č. 283/2014 z 11. marca 2014 o usmerneniach pre </w:t>
      </w:r>
      <w:proofErr w:type="spellStart"/>
      <w:r>
        <w:t>transeurópske</w:t>
      </w:r>
      <w:proofErr w:type="spellEnd"/>
      <w:r>
        <w:t xml:space="preserve"> siete v oblasti telekomunikačnej infraštruktúry, ktorým sa zrušuje rozhodnutie č. 1336/9</w:t>
      </w:r>
      <w:r>
        <w:t>7/ES.</w:t>
      </w:r>
    </w:p>
  </w:footnote>
  <w:footnote w:id="20">
    <w:p w:rsidR="00B90EE1" w:rsidRDefault="003A231F">
      <w:pPr>
        <w:pStyle w:val="Textpoznmkypodiarou"/>
      </w:pPr>
      <w:r>
        <w:rPr>
          <w:rStyle w:val="Odkaznapoznmkupodiarou"/>
        </w:rPr>
        <w:footnoteRef/>
      </w:r>
      <w:r>
        <w:tab/>
      </w:r>
      <w:r>
        <w:t>Ú. v. EÚ L 293, 31.10.2008, s. 3.</w:t>
      </w:r>
    </w:p>
  </w:footnote>
  <w:footnote w:id="21">
    <w:p w:rsidR="00B90EE1" w:rsidRDefault="003A231F">
      <w:pPr>
        <w:pStyle w:val="Textpoznmkypodiarou"/>
      </w:pPr>
      <w:r>
        <w:rPr>
          <w:rStyle w:val="Odkaznapoznmkupodiarou"/>
        </w:rPr>
        <w:footnoteRef/>
      </w:r>
      <w:r>
        <w:tab/>
      </w:r>
      <w:r>
        <w:t>Smernica Európskeho parlamentu a Rady 2007/44/ES z 5. septembra 2007, ktorou sa mení a dopĺňa smernica Rady 92/49/EHS a smernice 2002/83/ES, 2004/39/ES, 2005/68/ES a 2006/48/ES v súvislosti s procesnými pravidlam</w:t>
      </w:r>
      <w:r>
        <w:t xml:space="preserve">i a kritériami hodnotenia obozretného posudzovania nadobudnutí a zvýšení podielov vo finančnom sektore (Ú. v. EÚ L 247, 21.9.2007, s. 1 – 16), smernica Európskeho parlamentu a Rady 2013/36/EÚ z 26. júna 2013 o prístupe k činnosti úverových inštitúcií a </w:t>
      </w:r>
      <w:proofErr w:type="spellStart"/>
      <w:r>
        <w:t>pru</w:t>
      </w:r>
      <w:r>
        <w:t>denciálnom</w:t>
      </w:r>
      <w:proofErr w:type="spellEnd"/>
      <w:r>
        <w:t xml:space="preserve"> dohľade nad úverovými inštitúciami a investičnými spoločnosťami, o zmene smernice 2002/87/ES a o zrušení smerníc 2006/48/ES a 2006/49/ES (Ú. v. EÚ L 176, 27.6.2013, s. 338 – 436), smernica Európskeho parlamentu a Rady 2009/138/ES z 25. novembra </w:t>
      </w:r>
      <w:r>
        <w:t>2009 o začatí a vykonávaní poistenia a zaistenia (Solventnosť II) (Ú. v. EÚ L 335, 17.12.2009, s. 1 – 155), smernica Európskeho parlamentu a Rady 2014/65/EÚ z 15. mája 2014 o trhoch s finančnými nástrojmi, ktorou sa mení smernica 2002/92/ES a smernica 2011</w:t>
      </w:r>
      <w:r>
        <w:t>/61/EÚ (Ú. v. EÚ L 173, 12.6.2014, s. 349 – 496).</w:t>
      </w:r>
    </w:p>
  </w:footnote>
  <w:footnote w:id="22">
    <w:p w:rsidR="00B90EE1" w:rsidRDefault="003A231F">
      <w:pPr>
        <w:pStyle w:val="Textpoznmkypodiarou"/>
      </w:pPr>
      <w:r>
        <w:rPr>
          <w:rStyle w:val="Odkaznapoznmkupodiarou"/>
        </w:rPr>
        <w:footnoteRef/>
      </w:r>
      <w:r>
        <w:tab/>
      </w:r>
      <w:r>
        <w:t>Nariadenie Rady (ES) č. 428/2009 z 5. mája 2009, ktorým sa stanovuje režim Spoločenstva na kontrolu vývozov, prepravy, sprostredkovania a tranzitu položiek s dvojakým použitím (Ú. v. EÚ L 134 29.5.2009, s</w:t>
      </w:r>
      <w:r>
        <w:t>. 1).</w:t>
      </w:r>
    </w:p>
  </w:footnote>
  <w:footnote w:id="23">
    <w:p w:rsidR="00B90EE1" w:rsidRDefault="003A231F">
      <w:pPr>
        <w:pStyle w:val="Textpoznmkypodiarou"/>
      </w:pPr>
      <w:r>
        <w:rPr>
          <w:rStyle w:val="Odkaznapoznmkupodiarou"/>
        </w:rPr>
        <w:footnoteRef/>
      </w:r>
      <w:r>
        <w:tab/>
      </w:r>
      <w:r>
        <w:t>Pozri najmä smernicu Európskeho parlamentu a Rady 2004/109/ES z 15. decembra 2004 o harmonizácii požiadaviek na transparentnosť v súvislosti s informáciami o emitentoch, ktorých cenné papiere sú prijaté na obchodovanie na regulovanom trhu, a ktorou</w:t>
      </w:r>
      <w:r>
        <w:t xml:space="preserve"> sa mení a dopĺňa smernica 2001/34/ES (Ú. v. EÚ L 390, 31.12.2004, s. 38), smernicu 2004/25/ES o ponukách na prevzatie (Ú. v. EÚ L 142, 30.4.2004, s. 12).</w:t>
      </w:r>
    </w:p>
  </w:footnote>
  <w:footnote w:id="24">
    <w:p w:rsidR="00B90EE1" w:rsidRDefault="003A231F">
      <w:pPr>
        <w:pStyle w:val="Textpoznmkypodiarou"/>
      </w:pPr>
      <w:r>
        <w:rPr>
          <w:rStyle w:val="Odkaznapoznmkupodiarou"/>
        </w:rPr>
        <w:footnoteRef/>
      </w:r>
      <w:r>
        <w:tab/>
      </w:r>
      <w:r>
        <w:t>Pozri napr. smernicu 2008/114/ES o identifikácii európskych kritických infraštruktúr, smernicu 2009</w:t>
      </w:r>
      <w:r>
        <w:t>/73/ES o spoločných pravidlách pre vnútorný trh so zemným plynom a smernicu 2009/72/ES o spoločných pravidlách pre vnútorný trh s elektrinou, nariadenie 428/2009, ktorým sa stanovuje režim Spoločenstva na kontrolu vývozov, prepravy, sprostredkovania a tran</w:t>
      </w:r>
      <w:r>
        <w:t>zitu položiek s dvojakým použitím, smernicu 2016/1148 o bezpečnosti sietí a informačných systémov, nové nariadenie o opatreniach na zaistenie bezpečnosti dodávky plynu, ktorým sa zrušuje nariadenie 994/2010.</w:t>
      </w:r>
    </w:p>
  </w:footnote>
  <w:footnote w:id="25">
    <w:p w:rsidR="00B90EE1" w:rsidRDefault="003A231F">
      <w:pPr>
        <w:pStyle w:val="Textpoznmkypodiarou"/>
      </w:pPr>
      <w:r>
        <w:rPr>
          <w:rStyle w:val="Odkaznapoznmkupodiarou"/>
        </w:rPr>
        <w:footnoteRef/>
      </w:r>
      <w:r>
        <w:tab/>
      </w:r>
      <w:r>
        <w:t>Nariadenie Rady (ES) č. 139/2004 z 20. januára</w:t>
      </w:r>
      <w:r>
        <w:t xml:space="preserve"> 2004 o kontrole koncentrácií medzi podnikmi (Ú. v. EÚ L 24, 29.1.2004, s. 1).</w:t>
      </w:r>
    </w:p>
  </w:footnote>
  <w:footnote w:id="26">
    <w:p w:rsidR="00B90EE1" w:rsidRDefault="003A231F">
      <w:pPr>
        <w:pStyle w:val="Textpoznmkypodiarou"/>
        <w:rPr>
          <w:szCs w:val="24"/>
        </w:rPr>
      </w:pPr>
      <w:r>
        <w:rPr>
          <w:rStyle w:val="Odkaznapoznmkupodiarou"/>
        </w:rPr>
        <w:footnoteRef/>
      </w:r>
      <w:r>
        <w:tab/>
      </w:r>
      <w:r>
        <w:t>Podľa článku 54 ods. 2 písm. a) alebo b) nariadenia o rozpočtových pravidlách.</w:t>
      </w:r>
    </w:p>
  </w:footnote>
  <w:footnote w:id="27">
    <w:p w:rsidR="00B90EE1" w:rsidRDefault="003A231F">
      <w:pPr>
        <w:pStyle w:val="Textpoznmkypodiarou"/>
        <w:jc w:val="left"/>
        <w:rPr>
          <w:szCs w:val="24"/>
        </w:rPr>
      </w:pPr>
      <w:r>
        <w:rPr>
          <w:rStyle w:val="Odkaznapoznmkupodiarou"/>
        </w:rPr>
        <w:footnoteRef/>
      </w:r>
      <w:r>
        <w:tab/>
      </w:r>
      <w:r>
        <w:t>Vysvetlenie spôsobov hospodárenia a odkazy na nariadenie o rozpočtových pravidlách sú k dispoz</w:t>
      </w:r>
      <w:r>
        <w:t xml:space="preserve">ícii na webovej stránke </w:t>
      </w:r>
      <w:proofErr w:type="spellStart"/>
      <w:r>
        <w:t>BudgWeb</w:t>
      </w:r>
      <w:proofErr w:type="spellEnd"/>
      <w:r>
        <w:t xml:space="preserve">: </w:t>
      </w:r>
      <w:hyperlink r:id="rId1">
        <w:r>
          <w:rPr>
            <w:rStyle w:val="Hypertextovprepojenie"/>
          </w:rPr>
          <w:t>https://myintracomm.ec.europa.eu/budgweb/EN/man/budgmanag/Pages/budgmanag.aspx.</w:t>
        </w:r>
      </w:hyperlink>
      <w:r>
        <w:t xml:space="preserve"> </w:t>
      </w:r>
    </w:p>
  </w:footnote>
  <w:footnote w:id="28">
    <w:p w:rsidR="00B90EE1" w:rsidRDefault="003A231F">
      <w:pPr>
        <w:pStyle w:val="Textpoznmkypodiarou"/>
        <w:rPr>
          <w:szCs w:val="24"/>
        </w:rPr>
      </w:pPr>
      <w:r>
        <w:rPr>
          <w:rStyle w:val="Odkaznapoznmkupodiarou"/>
        </w:rPr>
        <w:footnoteRef/>
      </w:r>
      <w:r>
        <w:tab/>
      </w:r>
      <w:r>
        <w:t>DRP = diferencované rozpočtové prostriedk</w:t>
      </w:r>
      <w:r>
        <w:t>y / NRP = nediferencované rozpočtové prostriedky.</w:t>
      </w:r>
    </w:p>
  </w:footnote>
  <w:footnote w:id="29">
    <w:p w:rsidR="00B90EE1" w:rsidRDefault="003A231F">
      <w:pPr>
        <w:pStyle w:val="Textpoznmkypodiarou"/>
        <w:rPr>
          <w:szCs w:val="24"/>
        </w:rPr>
      </w:pPr>
      <w:r>
        <w:rPr>
          <w:rStyle w:val="Odkaznapoznmkupodiarou"/>
        </w:rPr>
        <w:footnoteRef/>
      </w:r>
      <w:r>
        <w:tab/>
      </w:r>
      <w:r>
        <w:t xml:space="preserve">EZVO: Európske združenie voľného obchodu. </w:t>
      </w:r>
    </w:p>
  </w:footnote>
  <w:footnote w:id="30">
    <w:p w:rsidR="00B90EE1" w:rsidRDefault="003A231F">
      <w:pPr>
        <w:pStyle w:val="Textpoznmkypodiarou"/>
        <w:rPr>
          <w:szCs w:val="24"/>
        </w:rPr>
      </w:pPr>
      <w:r>
        <w:rPr>
          <w:rStyle w:val="Odkaznapoznmkupodiarou"/>
        </w:rPr>
        <w:footnoteRef/>
      </w:r>
      <w:r>
        <w:tab/>
      </w:r>
      <w:r>
        <w:t>Kandidátske krajiny a prípadne potenciálne kandidátske krajiny západného Balkánu.</w:t>
      </w:r>
    </w:p>
  </w:footnote>
  <w:footnote w:id="31">
    <w:p w:rsidR="00B90EE1" w:rsidRDefault="003A231F">
      <w:pPr>
        <w:pStyle w:val="Textpoznmkypodiarou"/>
        <w:rPr>
          <w:szCs w:val="24"/>
        </w:rPr>
      </w:pPr>
      <w:r>
        <w:rPr>
          <w:rStyle w:val="Odkaznapoznmkupodiarou"/>
        </w:rPr>
        <w:footnoteRef/>
      </w:r>
      <w:r>
        <w:tab/>
      </w:r>
      <w:r>
        <w:t>Rok N je rokom, v ktorom sa návrh/iniciatíva začína uskutočňovať.</w:t>
      </w:r>
    </w:p>
  </w:footnote>
  <w:footnote w:id="32">
    <w:p w:rsidR="00B90EE1" w:rsidRDefault="003A231F">
      <w:pPr>
        <w:pStyle w:val="Textpoznmkypodiarou"/>
        <w:rPr>
          <w:szCs w:val="24"/>
        </w:rPr>
      </w:pPr>
      <w:r>
        <w:rPr>
          <w:rStyle w:val="Odkaznapoznmkupodiarou"/>
        </w:rPr>
        <w:footnoteRef/>
      </w:r>
      <w:r>
        <w:tab/>
      </w:r>
      <w:r>
        <w:t>Technická a/alebo administratívna pomoc a výdavky určené na financovanie realizácie programov a/alebo akcií Európskej únie (pôvodné rozpočtové riadky „BA“), nepriamy výskum, priamy výskum.</w:t>
      </w:r>
    </w:p>
  </w:footnote>
  <w:footnote w:id="33">
    <w:p w:rsidR="00B90EE1" w:rsidRDefault="003A231F">
      <w:pPr>
        <w:pStyle w:val="Textpoznmkypodiarou"/>
        <w:rPr>
          <w:szCs w:val="24"/>
        </w:rPr>
      </w:pPr>
      <w:r>
        <w:rPr>
          <w:rStyle w:val="Odkaznapoznmkupodiarou"/>
        </w:rPr>
        <w:footnoteRef/>
      </w:r>
      <w:r>
        <w:tab/>
      </w:r>
      <w:r>
        <w:t>Rok N je rokom, v ktorom sa návrh/iniciatíva začína uskutočňovať.</w:t>
      </w:r>
    </w:p>
  </w:footnote>
  <w:footnote w:id="34">
    <w:p w:rsidR="00B90EE1" w:rsidRDefault="003A231F">
      <w:pPr>
        <w:pStyle w:val="Textpoznmkypodiarou"/>
        <w:rPr>
          <w:szCs w:val="24"/>
        </w:rPr>
      </w:pPr>
      <w:r>
        <w:rPr>
          <w:rStyle w:val="Odkaznapoznmkupodiarou"/>
        </w:rPr>
        <w:footnoteRef/>
      </w:r>
      <w:r>
        <w:tab/>
      </w:r>
      <w:r>
        <w:t>Výstupy znamenajú dodané produkty a služby (napr.: počet financovaných výmen študentov, vybudované cesty v km atď.).</w:t>
      </w:r>
    </w:p>
  </w:footnote>
  <w:footnote w:id="35">
    <w:p w:rsidR="00B90EE1" w:rsidRDefault="003A231F">
      <w:pPr>
        <w:pStyle w:val="Textpoznmkypodiarou"/>
        <w:rPr>
          <w:szCs w:val="24"/>
        </w:rPr>
      </w:pPr>
      <w:r>
        <w:rPr>
          <w:rStyle w:val="Odkaznapoznmkupodiarou"/>
        </w:rPr>
        <w:footnoteRef/>
      </w:r>
      <w:r>
        <w:tab/>
      </w:r>
      <w:r>
        <w:t xml:space="preserve">Ako je uvedené v bode 1.4.2. „Osobitné ciele...“. </w:t>
      </w:r>
    </w:p>
  </w:footnote>
  <w:footnote w:id="36">
    <w:p w:rsidR="00B90EE1" w:rsidRDefault="003A231F">
      <w:pPr>
        <w:pStyle w:val="Textpoznmkypodiarou"/>
        <w:rPr>
          <w:szCs w:val="24"/>
        </w:rPr>
      </w:pPr>
      <w:r>
        <w:rPr>
          <w:rStyle w:val="Odkaznapoznmkupodiarou"/>
        </w:rPr>
        <w:footnoteRef/>
      </w:r>
      <w:r>
        <w:tab/>
      </w:r>
      <w:r>
        <w:t>Rok N je rokom, v ktorom sa návrh/iniciatíva začína uskutočňovať.</w:t>
      </w:r>
    </w:p>
  </w:footnote>
  <w:footnote w:id="37">
    <w:p w:rsidR="00B90EE1" w:rsidRDefault="003A231F">
      <w:pPr>
        <w:pStyle w:val="Textpoznmkypodiarou"/>
        <w:rPr>
          <w:szCs w:val="24"/>
        </w:rPr>
      </w:pPr>
      <w:r>
        <w:rPr>
          <w:rStyle w:val="Odkaznapoznmkupodiarou"/>
        </w:rPr>
        <w:footnoteRef/>
      </w:r>
      <w:r>
        <w:tab/>
      </w:r>
      <w:r>
        <w:t>Technická a/a</w:t>
      </w:r>
      <w:r>
        <w:t>lebo administratívna pomoc a výdavky určené na financovanie realizácie programov a/alebo akcií Európskej únie (pôvodné rozpočtové riadky „BA“), nepriamy výskum, priamy výskum.</w:t>
      </w:r>
    </w:p>
  </w:footnote>
  <w:footnote w:id="38">
    <w:p w:rsidR="00B90EE1" w:rsidRDefault="003A231F">
      <w:pPr>
        <w:pStyle w:val="Textpoznmkypodiarou"/>
        <w:rPr>
          <w:szCs w:val="24"/>
        </w:rPr>
      </w:pPr>
      <w:r>
        <w:rPr>
          <w:rStyle w:val="Odkaznapoznmkupodiarou"/>
        </w:rPr>
        <w:footnoteRef/>
      </w:r>
      <w:r>
        <w:tab/>
      </w:r>
      <w:r>
        <w:t>ZZ = zmluvný zamestnanec; MZ = miestny zamestnanec; VNE = vyslaný národný expe</w:t>
      </w:r>
      <w:r>
        <w:t xml:space="preserve">rt; DAZ = dočasný agentúrny zamestnanec; PED = pomocný expert v delegácii. </w:t>
      </w:r>
    </w:p>
  </w:footnote>
  <w:footnote w:id="39">
    <w:p w:rsidR="00B90EE1" w:rsidRDefault="003A231F">
      <w:pPr>
        <w:pStyle w:val="Textpoznmkypodiarou"/>
        <w:rPr>
          <w:szCs w:val="24"/>
        </w:rPr>
      </w:pPr>
      <w:r>
        <w:rPr>
          <w:rStyle w:val="Odkaznapoznmkupodiarou"/>
        </w:rPr>
        <w:footnoteRef/>
      </w:r>
      <w:r>
        <w:tab/>
      </w:r>
      <w:r>
        <w:t>Čiastkový strop pre externých zamestnancov financovaných z operačných rozpočtových prostriedkov (pôvodné rozpočtové riadky „BA“).</w:t>
      </w:r>
    </w:p>
  </w:footnote>
  <w:footnote w:id="40">
    <w:p w:rsidR="00B90EE1" w:rsidRDefault="003A231F">
      <w:pPr>
        <w:pStyle w:val="Textpoznmkypodiarou"/>
        <w:rPr>
          <w:szCs w:val="24"/>
        </w:rPr>
      </w:pPr>
      <w:r>
        <w:rPr>
          <w:rStyle w:val="Odkaznapoznmkupodiarou"/>
        </w:rPr>
        <w:footnoteRef/>
      </w:r>
      <w:r>
        <w:tab/>
      </w:r>
      <w:r>
        <w:t>Pokiaľ ide o tradičné vlastné zdroje (clá, odv</w:t>
      </w:r>
      <w:r>
        <w:t>ody z produkcie cukru), uvedené sumy musia predstavovať čisté sumy, t. j. hrubé sumy po odčítaní 25 % na náklady na výber.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EE1" w:rsidRDefault="00B90EE1">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EE1" w:rsidRDefault="00B90EE1">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EE1" w:rsidRDefault="00B90EE1">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0EE1" w:rsidRDefault="00B90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CA3A9596"/>
    <w:lvl w:ilvl="0">
      <w:start w:val="1"/>
      <w:numFmt w:val="decimal"/>
      <w:pStyle w:val="slovanzoznam4"/>
      <w:lvlText w:val="%1."/>
      <w:lvlJc w:val="left"/>
      <w:pPr>
        <w:tabs>
          <w:tab w:val="num" w:pos="1209"/>
        </w:tabs>
        <w:ind w:left="1209" w:hanging="360"/>
      </w:pPr>
    </w:lvl>
  </w:abstractNum>
  <w:abstractNum w:abstractNumId="1" w15:restartNumberingAfterBreak="0">
    <w:nsid w:val="FFFFFF7E"/>
    <w:multiLevelType w:val="singleLevel"/>
    <w:tmpl w:val="51E64CD4"/>
    <w:lvl w:ilvl="0">
      <w:start w:val="1"/>
      <w:numFmt w:val="decimal"/>
      <w:pStyle w:val="slovanzoznam3"/>
      <w:lvlText w:val="%1."/>
      <w:lvlJc w:val="left"/>
      <w:pPr>
        <w:tabs>
          <w:tab w:val="num" w:pos="926"/>
        </w:tabs>
        <w:ind w:left="926" w:hanging="360"/>
      </w:pPr>
    </w:lvl>
  </w:abstractNum>
  <w:abstractNum w:abstractNumId="2" w15:restartNumberingAfterBreak="0">
    <w:nsid w:val="FFFFFF7F"/>
    <w:multiLevelType w:val="singleLevel"/>
    <w:tmpl w:val="4E8E26BC"/>
    <w:lvl w:ilvl="0">
      <w:start w:val="1"/>
      <w:numFmt w:val="decimal"/>
      <w:pStyle w:val="slovanzoznam2"/>
      <w:lvlText w:val="%1."/>
      <w:lvlJc w:val="left"/>
      <w:pPr>
        <w:tabs>
          <w:tab w:val="num" w:pos="643"/>
        </w:tabs>
        <w:ind w:left="643" w:hanging="360"/>
      </w:pPr>
    </w:lvl>
  </w:abstractNum>
  <w:abstractNum w:abstractNumId="3" w15:restartNumberingAfterBreak="0">
    <w:nsid w:val="FFFFFF81"/>
    <w:multiLevelType w:val="singleLevel"/>
    <w:tmpl w:val="F948F08E"/>
    <w:lvl w:ilvl="0">
      <w:start w:val="1"/>
      <w:numFmt w:val="bullet"/>
      <w:pStyle w:val="Zoznamsodrkami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6527E3E"/>
    <w:lvl w:ilvl="0">
      <w:start w:val="1"/>
      <w:numFmt w:val="bullet"/>
      <w:pStyle w:val="Zoznamsodrkami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CB2AED8"/>
    <w:lvl w:ilvl="0">
      <w:start w:val="1"/>
      <w:numFmt w:val="bullet"/>
      <w:pStyle w:val="Zoznamsodrkami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D3B41B00"/>
    <w:lvl w:ilvl="0">
      <w:start w:val="1"/>
      <w:numFmt w:val="decimal"/>
      <w:pStyle w:val="slovanzoznam"/>
      <w:lvlText w:val="%1."/>
      <w:lvlJc w:val="left"/>
      <w:pPr>
        <w:tabs>
          <w:tab w:val="num" w:pos="360"/>
        </w:tabs>
        <w:ind w:left="360" w:hanging="360"/>
      </w:pPr>
    </w:lvl>
  </w:abstractNum>
  <w:abstractNum w:abstractNumId="7" w15:restartNumberingAfterBreak="0">
    <w:nsid w:val="FFFFFF89"/>
    <w:multiLevelType w:val="singleLevel"/>
    <w:tmpl w:val="7D7EF040"/>
    <w:lvl w:ilvl="0">
      <w:start w:val="1"/>
      <w:numFmt w:val="bullet"/>
      <w:pStyle w:val="Zoznamsodrkami"/>
      <w:lvlText w:val=""/>
      <w:lvlJc w:val="left"/>
      <w:pPr>
        <w:tabs>
          <w:tab w:val="num" w:pos="360"/>
        </w:tabs>
        <w:ind w:left="360" w:hanging="360"/>
      </w:pPr>
      <w:rPr>
        <w:rFonts w:ascii="Symbol" w:hAnsi="Symbol" w:hint="default"/>
      </w:rPr>
    </w:lvl>
  </w:abstractNum>
  <w:abstractNum w:abstractNumId="8" w15:restartNumberingAfterBreak="0">
    <w:nsid w:val="062C6A95"/>
    <w:multiLevelType w:val="singleLevel"/>
    <w:tmpl w:val="02BAFA82"/>
    <w:name w:val="List Bullet 1"/>
    <w:lvl w:ilvl="0">
      <w:start w:val="1"/>
      <w:numFmt w:val="bullet"/>
      <w:pStyle w:val="ListBullet1"/>
      <w:lvlText w:val=""/>
      <w:lvlJc w:val="left"/>
      <w:pPr>
        <w:tabs>
          <w:tab w:val="num" w:pos="1134"/>
        </w:tabs>
        <w:ind w:left="1134" w:hanging="283"/>
      </w:pPr>
      <w:rPr>
        <w:rFonts w:ascii="Symbol" w:hAnsi="Symbol" w:hint="default"/>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37045E2D"/>
    <w:multiLevelType w:val="hybridMultilevel"/>
    <w:tmpl w:val="52E236C0"/>
    <w:styleLink w:val="ImportedStyle1"/>
    <w:lvl w:ilvl="0" w:tplc="BEEC1E04">
      <w:start w:val="1"/>
      <w:numFmt w:val="bullet"/>
      <w:lvlText w:val="·"/>
      <w:lvlJc w:val="left"/>
      <w:pPr>
        <w:ind w:left="3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CBECA8BE">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22F6BB86">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822A16AC">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44642B08">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5BC4E87C">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5ABEB6BE">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4CEECD80">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45E867D2">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4" w15:restartNumberingAfterBreak="0">
    <w:nsid w:val="40315490"/>
    <w:multiLevelType w:val="singleLevel"/>
    <w:tmpl w:val="1F86C700"/>
    <w:name w:val="List Dash"/>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489D74ED"/>
    <w:multiLevelType w:val="singleLevel"/>
    <w:tmpl w:val="C2E2F936"/>
    <w:name w:val="List Dash 2"/>
    <w:lvl w:ilvl="0">
      <w:start w:val="1"/>
      <w:numFmt w:val="bullet"/>
      <w:pStyle w:val="ListDash2"/>
      <w:lvlText w:val="–"/>
      <w:lvlJc w:val="left"/>
      <w:pPr>
        <w:tabs>
          <w:tab w:val="num" w:pos="1134"/>
        </w:tabs>
        <w:ind w:left="1134" w:hanging="283"/>
      </w:pPr>
      <w:rPr>
        <w:rFonts w:ascii="Times New Roman" w:hAnsi="Times New Roman"/>
      </w:rPr>
    </w:lvl>
  </w:abstractNum>
  <w:abstractNum w:abstractNumId="19" w15:restartNumberingAfterBreak="0">
    <w:nsid w:val="4D0C058A"/>
    <w:multiLevelType w:val="singleLevel"/>
    <w:tmpl w:val="BAE8D90E"/>
    <w:name w:val="List Dash 1"/>
    <w:lvl w:ilvl="0">
      <w:start w:val="1"/>
      <w:numFmt w:val="bullet"/>
      <w:pStyle w:val="ListDash1"/>
      <w:lvlText w:val="–"/>
      <w:lvlJc w:val="left"/>
      <w:pPr>
        <w:tabs>
          <w:tab w:val="num" w:pos="1134"/>
        </w:tabs>
        <w:ind w:left="1134" w:hanging="283"/>
      </w:pPr>
      <w:rPr>
        <w:rFonts w:ascii="Times New Roman" w:hAnsi="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64A12FA4"/>
    <w:multiLevelType w:val="multilevel"/>
    <w:tmpl w:val="428ECF3E"/>
    <w:name w:val="Heading"/>
    <w:lvl w:ilvl="0">
      <w:start w:val="1"/>
      <w:numFmt w:val="decimal"/>
      <w:lvlRestart w:val="0"/>
      <w:pStyle w:val="Nadpis1"/>
      <w:lvlText w:val="%1."/>
      <w:lvlJc w:val="left"/>
      <w:pPr>
        <w:tabs>
          <w:tab w:val="num" w:pos="850"/>
        </w:tabs>
        <w:ind w:left="850" w:hanging="850"/>
      </w:pPr>
    </w:lvl>
    <w:lvl w:ilvl="1">
      <w:start w:val="1"/>
      <w:numFmt w:val="decimal"/>
      <w:pStyle w:val="Nadpis2"/>
      <w:lvlText w:val="%1.%2."/>
      <w:lvlJc w:val="left"/>
      <w:pPr>
        <w:tabs>
          <w:tab w:val="num" w:pos="850"/>
        </w:tabs>
        <w:ind w:left="850" w:hanging="850"/>
      </w:pPr>
    </w:lvl>
    <w:lvl w:ilvl="2">
      <w:start w:val="1"/>
      <w:numFmt w:val="decimal"/>
      <w:pStyle w:val="Nadpis3"/>
      <w:lvlText w:val="%1.%2.%3."/>
      <w:lvlJc w:val="left"/>
      <w:pPr>
        <w:tabs>
          <w:tab w:val="num" w:pos="850"/>
        </w:tabs>
        <w:ind w:left="850" w:hanging="850"/>
      </w:pPr>
    </w:lvl>
    <w:lvl w:ilvl="3">
      <w:start w:val="1"/>
      <w:numFmt w:val="decimal"/>
      <w:pStyle w:val="Nadpis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3"/>
  </w:num>
  <w:num w:numId="6">
    <w:abstractNumId w:val="1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 w:numId="10">
    <w:abstractNumId w:val="1"/>
  </w:num>
  <w:num w:numId="11">
    <w:abstractNumId w:val="0"/>
  </w:num>
  <w:num w:numId="12">
    <w:abstractNumId w:val="23"/>
    <w:lvlOverride w:ilvl="0">
      <w:startOverride w:val="1"/>
    </w:lvlOverride>
  </w:num>
  <w:num w:numId="13">
    <w:abstractNumId w:val="8"/>
  </w:num>
  <w:num w:numId="14">
    <w:abstractNumId w:val="19"/>
  </w:num>
  <w:num w:numId="15">
    <w:abstractNumId w:val="18"/>
  </w:num>
  <w:num w:numId="16">
    <w:abstractNumId w:val="25"/>
    <w:lvlOverride w:ilvl="0">
      <w:startOverride w:val="1"/>
    </w:lvlOverride>
  </w:num>
  <w:num w:numId="17">
    <w:abstractNumId w:val="23"/>
  </w:num>
  <w:num w:numId="18">
    <w:abstractNumId w:val="15"/>
  </w:num>
  <w:num w:numId="19">
    <w:abstractNumId w:val="25"/>
  </w:num>
  <w:num w:numId="20">
    <w:abstractNumId w:val="12"/>
  </w:num>
  <w:num w:numId="21">
    <w:abstractNumId w:val="16"/>
  </w:num>
  <w:num w:numId="22">
    <w:abstractNumId w:val="10"/>
  </w:num>
  <w:num w:numId="23">
    <w:abstractNumId w:val="24"/>
  </w:num>
  <w:num w:numId="24">
    <w:abstractNumId w:val="9"/>
  </w:num>
  <w:num w:numId="25">
    <w:abstractNumId w:val="17"/>
  </w:num>
  <w:num w:numId="26">
    <w:abstractNumId w:val="21"/>
  </w:num>
  <w:num w:numId="27">
    <w:abstractNumId w:val="22"/>
  </w:num>
  <w:num w:numId="28">
    <w:abstractNumId w:val="11"/>
  </w:num>
  <w:num w:numId="29">
    <w:abstractNumId w:val="20"/>
  </w:num>
  <w:num w:numId="30">
    <w:abstractNumId w:val="26"/>
  </w:num>
  <w:num w:numId="31">
    <w:abstractNumId w:val="23"/>
  </w:num>
  <w:num w:numId="32">
    <w:abstractNumId w:val="15"/>
  </w:num>
  <w:num w:numId="33">
    <w:abstractNumId w:val="25"/>
  </w:num>
  <w:num w:numId="34">
    <w:abstractNumId w:val="12"/>
  </w:num>
  <w:num w:numId="35">
    <w:abstractNumId w:val="16"/>
  </w:num>
  <w:num w:numId="36">
    <w:abstractNumId w:val="10"/>
  </w:num>
  <w:num w:numId="37">
    <w:abstractNumId w:val="24"/>
  </w:num>
  <w:num w:numId="38">
    <w:abstractNumId w:val="9"/>
  </w:num>
  <w:num w:numId="39">
    <w:abstractNumId w:val="17"/>
  </w:num>
  <w:num w:numId="40">
    <w:abstractNumId w:val="21"/>
  </w:num>
  <w:num w:numId="41">
    <w:abstractNumId w:val="22"/>
  </w:num>
  <w:num w:numId="42">
    <w:abstractNumId w:val="11"/>
  </w:num>
  <w:num w:numId="43">
    <w:abstractNumId w:val="20"/>
  </w:num>
  <w:num w:numId="44">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VERPAGE_EXISTS" w:val="True"/>
    <w:docVar w:name="DQCDateTime" w:val="2017-10-17 09:50:34"/>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1"/>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ECD2AB67347B46BC9D7B092F3B77AE97"/>
    <w:docVar w:name="LW_CROSSREFERENCE" w:val="{SWD(2017) 297 final}"/>
    <w:docVar w:name="LW_DocType" w:val="COM"/>
    <w:docVar w:name="LW_EMISSION" w:val="13. 9. 2017"/>
    <w:docVar w:name="LW_EMISSION_ISODATE" w:val="2017-09-13"/>
    <w:docVar w:name="LW_EMISSION_LOCATION" w:val="BRX"/>
    <w:docVar w:name="LW_EMISSION_PREFIX" w:val="V Bruseli"/>
    <w:docVar w:name="LW_EMISSION_SUFFIX" w:val=" "/>
    <w:docVar w:name="LW_ID_DOCMODEL" w:val="SJ-023"/>
    <w:docVar w:name="LW_ID_DOCSIGNATURE" w:val="SJ-023"/>
    <w:docVar w:name="LW_ID_DOCSTRUCTURE" w:val="COM/PL/ORG"/>
    <w:docVar w:name="LW_ID_DOCTYPE" w:val="SJ-023"/>
    <w:docVar w:name="LW_ID_STATUT" w:val="SJ-023"/>
    <w:docVar w:name="LW_INTERETEEE.CP" w:val="&lt;UNUSED&gt;"/>
    <w:docVar w:name="LW_LANGUE" w:val="SK"/>
    <w:docVar w:name="LW_MARKING" w:val="&lt;UNUSED&gt;"/>
    <w:docVar w:name="LW_NOM.INST" w:val="EURÓPSKA KOMISIA"/>
    <w:docVar w:name="LW_NOM.INST_JOINTDOC" w:val="&lt;EMPTY&gt;"/>
    <w:docVar w:name="LW_PART_NBR" w:val="1"/>
    <w:docVar w:name="LW_PART_NBR_TOTAL" w:val="1"/>
    <w:docVar w:name="LW_REF.II.NEW.CP" w:val="COD"/>
    <w:docVar w:name="LW_REF.II.NEW.CP_NUMBER" w:val="0224"/>
    <w:docVar w:name="LW_REF.II.NEW.CP_YEAR" w:val="2017"/>
    <w:docVar w:name="LW_REF.INST.NEW" w:val="COM"/>
    <w:docVar w:name="LW_REF.INST.NEW_ADOPTED" w:val="final"/>
    <w:docVar w:name="LW_REF.INST.NEW_TEXT" w:val="(2017) 487"/>
    <w:docVar w:name="LW_REF.INTERNE" w:val="&lt;UNUSED&gt;"/>
    <w:docVar w:name="LW_SOUS.TITRE.OBJ.CP" w:val="&lt;UNUSED&gt;"/>
    <w:docVar w:name="LW_STATUT.CP" w:val="Návrh"/>
    <w:docVar w:name="LW_SUPERTITRE" w:val="&lt;UNUSED&gt;"/>
    <w:docVar w:name="LW_TITRE.OBJ.CP" w:val="ktorým sa stanovuje rámec na preverovanie priamych zahrani\u269?ných investícií do Európskej únie"/>
    <w:docVar w:name="LW_TYPE.DOC.CP" w:val="NARIADENIE EURÓPSKEHO PARLAMENTU A RADY,"/>
  </w:docVars>
  <w:rsids>
    <w:rsidRoot w:val="00B90EE1"/>
    <w:rsid w:val="003A231F"/>
    <w:rsid w:val="005517EF"/>
    <w:rsid w:val="00AB48A9"/>
    <w:rsid w:val="00B90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05326D-80E9-4154-9C06-1B3F15852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sk-SK" w:bidi="sk-SK"/>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spacing w:before="120" w:after="120" w:line="240" w:lineRule="auto"/>
      <w:jc w:val="both"/>
    </w:pPr>
    <w:rPr>
      <w:rFonts w:ascii="Times New Roman" w:hAnsi="Times New Roman" w:cs="Times New Roman"/>
      <w:sz w:val="24"/>
    </w:rPr>
  </w:style>
  <w:style w:type="paragraph" w:styleId="Nadpis1">
    <w:name w:val="heading 1"/>
    <w:basedOn w:val="Normlny"/>
    <w:next w:val="Text1"/>
    <w:link w:val="Nadpis1Char"/>
    <w:uiPriority w:val="9"/>
    <w:qFormat/>
    <w:pPr>
      <w:keepNext/>
      <w:numPr>
        <w:numId w:val="37"/>
      </w:numPr>
      <w:spacing w:before="360"/>
      <w:outlineLvl w:val="0"/>
    </w:pPr>
    <w:rPr>
      <w:rFonts w:eastAsiaTheme="majorEastAsia"/>
      <w:b/>
      <w:bCs/>
      <w:smallCaps/>
      <w:szCs w:val="28"/>
    </w:rPr>
  </w:style>
  <w:style w:type="paragraph" w:styleId="Nadpis2">
    <w:name w:val="heading 2"/>
    <w:basedOn w:val="Normlny"/>
    <w:next w:val="Text1"/>
    <w:link w:val="Nadpis2Char"/>
    <w:uiPriority w:val="9"/>
    <w:semiHidden/>
    <w:unhideWhenUsed/>
    <w:qFormat/>
    <w:pPr>
      <w:keepNext/>
      <w:numPr>
        <w:ilvl w:val="1"/>
        <w:numId w:val="37"/>
      </w:numPr>
      <w:outlineLvl w:val="1"/>
    </w:pPr>
    <w:rPr>
      <w:rFonts w:eastAsiaTheme="majorEastAsia"/>
      <w:b/>
      <w:bCs/>
      <w:szCs w:val="26"/>
    </w:rPr>
  </w:style>
  <w:style w:type="paragraph" w:styleId="Nadpis3">
    <w:name w:val="heading 3"/>
    <w:basedOn w:val="Normlny"/>
    <w:next w:val="Text1"/>
    <w:link w:val="Nadpis3Char"/>
    <w:uiPriority w:val="9"/>
    <w:semiHidden/>
    <w:unhideWhenUsed/>
    <w:qFormat/>
    <w:pPr>
      <w:keepNext/>
      <w:numPr>
        <w:ilvl w:val="2"/>
        <w:numId w:val="37"/>
      </w:numPr>
      <w:outlineLvl w:val="2"/>
    </w:pPr>
    <w:rPr>
      <w:rFonts w:eastAsiaTheme="majorEastAsia"/>
      <w:bCs/>
      <w:i/>
    </w:rPr>
  </w:style>
  <w:style w:type="paragraph" w:styleId="Nadpis4">
    <w:name w:val="heading 4"/>
    <w:basedOn w:val="Normlny"/>
    <w:next w:val="Text1"/>
    <w:link w:val="Nadpis4Char"/>
    <w:uiPriority w:val="9"/>
    <w:semiHidden/>
    <w:unhideWhenUsed/>
    <w:qFormat/>
    <w:pPr>
      <w:keepNext/>
      <w:numPr>
        <w:ilvl w:val="3"/>
        <w:numId w:val="37"/>
      </w:numPr>
      <w:outlineLvl w:val="3"/>
    </w:pPr>
    <w:rPr>
      <w:rFonts w:eastAsiaTheme="majorEastAsia"/>
      <w:bCs/>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oznamsodrkami">
    <w:name w:val="List Bullet"/>
    <w:basedOn w:val="Normlny"/>
    <w:unhideWhenUsed/>
    <w:pPr>
      <w:numPr>
        <w:numId w:val="1"/>
      </w:numPr>
      <w:contextualSpacing/>
    </w:pPr>
  </w:style>
  <w:style w:type="paragraph" w:styleId="Zoznamsodrkami2">
    <w:name w:val="List Bullet 2"/>
    <w:basedOn w:val="Normlny"/>
    <w:unhideWhenUsed/>
    <w:pPr>
      <w:numPr>
        <w:numId w:val="2"/>
      </w:numPr>
      <w:contextualSpacing/>
    </w:pPr>
  </w:style>
  <w:style w:type="paragraph" w:styleId="Zoznamsodrkami3">
    <w:name w:val="List Bullet 3"/>
    <w:basedOn w:val="Normlny"/>
    <w:unhideWhenUsed/>
    <w:pPr>
      <w:numPr>
        <w:numId w:val="3"/>
      </w:numPr>
      <w:contextualSpacing/>
    </w:pPr>
  </w:style>
  <w:style w:type="paragraph" w:styleId="Zoznamsodrkami4">
    <w:name w:val="List Bullet 4"/>
    <w:basedOn w:val="Normlny"/>
    <w:unhideWhenUsed/>
    <w:pPr>
      <w:numPr>
        <w:numId w:val="4"/>
      </w:numPr>
      <w:contextualSpacing/>
    </w:pPr>
  </w:style>
  <w:style w:type="paragraph" w:styleId="Odsekzoznamu">
    <w:name w:val="List Paragraph"/>
    <w:pPr>
      <w:pBdr>
        <w:top w:val="nil"/>
        <w:left w:val="nil"/>
        <w:bottom w:val="nil"/>
        <w:right w:val="nil"/>
        <w:between w:val="nil"/>
        <w:bar w:val="nil"/>
      </w:pBdr>
      <w:ind w:left="720"/>
    </w:pPr>
    <w:rPr>
      <w:rFonts w:ascii="Calibri" w:eastAsia="Calibri" w:hAnsi="Calibri" w:cs="Calibri"/>
      <w:color w:val="000000"/>
      <w:u w:color="000000"/>
      <w:bdr w:val="nil"/>
    </w:rPr>
  </w:style>
  <w:style w:type="numbering" w:customStyle="1" w:styleId="ImportedStyle1">
    <w:name w:val="Imported Style 1"/>
    <w:pPr>
      <w:numPr>
        <w:numId w:val="5"/>
      </w:numPr>
    </w:pPr>
  </w:style>
  <w:style w:type="character" w:styleId="Odkaznakomentr">
    <w:name w:val="annotation reference"/>
    <w:basedOn w:val="Predvolenpsmoodseku"/>
    <w:unhideWhenUsed/>
    <w:rPr>
      <w:sz w:val="16"/>
      <w:szCs w:val="16"/>
    </w:rPr>
  </w:style>
  <w:style w:type="paragraph" w:styleId="Textkomentra">
    <w:name w:val="annotation text"/>
    <w:basedOn w:val="Normlny"/>
    <w:link w:val="TextkomentraChar"/>
    <w:unhideWhenUsed/>
    <w:rPr>
      <w:sz w:val="20"/>
      <w:szCs w:val="20"/>
    </w:rPr>
  </w:style>
  <w:style w:type="character" w:customStyle="1" w:styleId="TextkomentraChar">
    <w:name w:val="Text komentára Char"/>
    <w:basedOn w:val="Predvolenpsmoodseku"/>
    <w:link w:val="Textkomentra"/>
    <w:rPr>
      <w:rFonts w:ascii="Times New Roman" w:hAnsi="Times New Roman" w:cs="Times New Roman"/>
      <w:sz w:val="20"/>
      <w:szCs w:val="20"/>
      <w:lang w:val="sk-SK"/>
    </w:rPr>
  </w:style>
  <w:style w:type="paragraph" w:styleId="Predmetkomentra">
    <w:name w:val="annotation subject"/>
    <w:basedOn w:val="Textkomentra"/>
    <w:next w:val="Textkomentra"/>
    <w:link w:val="PredmetkomentraChar"/>
    <w:unhideWhenUsed/>
    <w:rPr>
      <w:b/>
      <w:bCs/>
    </w:rPr>
  </w:style>
  <w:style w:type="character" w:customStyle="1" w:styleId="PredmetkomentraChar">
    <w:name w:val="Predmet komentára Char"/>
    <w:basedOn w:val="TextkomentraChar"/>
    <w:link w:val="Predmetkomentra"/>
    <w:rPr>
      <w:rFonts w:ascii="Times New Roman" w:hAnsi="Times New Roman" w:cs="Times New Roman"/>
      <w:b/>
      <w:bCs/>
      <w:sz w:val="20"/>
      <w:szCs w:val="20"/>
      <w:lang w:val="sk-SK"/>
    </w:rPr>
  </w:style>
  <w:style w:type="paragraph" w:styleId="Textbubliny">
    <w:name w:val="Balloon Text"/>
    <w:basedOn w:val="Normlny"/>
    <w:link w:val="TextbublinyChar"/>
    <w:unhideWhenUsed/>
    <w:pPr>
      <w:spacing w:before="0" w:after="0"/>
    </w:pPr>
    <w:rPr>
      <w:rFonts w:ascii="Tahoma" w:hAnsi="Tahoma" w:cs="Tahoma"/>
      <w:sz w:val="16"/>
      <w:szCs w:val="16"/>
    </w:rPr>
  </w:style>
  <w:style w:type="character" w:customStyle="1" w:styleId="TextbublinyChar">
    <w:name w:val="Text bubliny Char"/>
    <w:basedOn w:val="Predvolenpsmoodseku"/>
    <w:link w:val="Textbubliny"/>
    <w:rPr>
      <w:rFonts w:ascii="Tahoma" w:hAnsi="Tahoma" w:cs="Tahoma"/>
      <w:sz w:val="16"/>
      <w:szCs w:val="16"/>
      <w:lang w:val="sk-SK"/>
    </w:rPr>
  </w:style>
  <w:style w:type="paragraph" w:styleId="Revzia">
    <w:name w:val="Revision"/>
    <w:hidden/>
    <w:uiPriority w:val="99"/>
    <w:semiHidden/>
    <w:pPr>
      <w:spacing w:after="0" w:line="240" w:lineRule="auto"/>
    </w:pPr>
    <w:rPr>
      <w:rFonts w:ascii="Times New Roman" w:hAnsi="Times New Roman" w:cs="Times New Roman"/>
      <w:sz w:val="24"/>
    </w:rPr>
  </w:style>
  <w:style w:type="paragraph" w:customStyle="1" w:styleId="ListDash">
    <w:name w:val="List Dash"/>
    <w:basedOn w:val="Normlny"/>
    <w:pPr>
      <w:numPr>
        <w:numId w:val="6"/>
      </w:numPr>
    </w:pPr>
    <w:rPr>
      <w:rFonts w:eastAsia="Times New Roman"/>
      <w:szCs w:val="24"/>
    </w:rPr>
  </w:style>
  <w:style w:type="paragraph" w:customStyle="1" w:styleId="CM1">
    <w:name w:val="CM1"/>
    <w:basedOn w:val="Normlny"/>
    <w:next w:val="Normlny"/>
    <w:uiPriority w:val="99"/>
    <w:pPr>
      <w:autoSpaceDE w:val="0"/>
      <w:autoSpaceDN w:val="0"/>
      <w:adjustRightInd w:val="0"/>
      <w:spacing w:before="0" w:after="0"/>
      <w:jc w:val="left"/>
    </w:pPr>
    <w:rPr>
      <w:rFonts w:ascii="EUAlbertina" w:hAnsi="EUAlbertina" w:cstheme="minorBidi"/>
      <w:szCs w:val="24"/>
    </w:rPr>
  </w:style>
  <w:style w:type="paragraph" w:customStyle="1" w:styleId="CM3">
    <w:name w:val="CM3"/>
    <w:basedOn w:val="Normlny"/>
    <w:next w:val="Normlny"/>
    <w:uiPriority w:val="99"/>
    <w:pPr>
      <w:autoSpaceDE w:val="0"/>
      <w:autoSpaceDN w:val="0"/>
      <w:adjustRightInd w:val="0"/>
      <w:spacing w:before="0" w:after="0"/>
      <w:jc w:val="left"/>
    </w:pPr>
    <w:rPr>
      <w:rFonts w:ascii="EUAlbertina" w:hAnsi="EUAlbertina" w:cstheme="minorBidi"/>
      <w:szCs w:val="24"/>
    </w:rPr>
  </w:style>
  <w:style w:type="paragraph" w:customStyle="1" w:styleId="CM4">
    <w:name w:val="CM4"/>
    <w:basedOn w:val="Normlny"/>
    <w:next w:val="Normlny"/>
    <w:uiPriority w:val="99"/>
    <w:pPr>
      <w:autoSpaceDE w:val="0"/>
      <w:autoSpaceDN w:val="0"/>
      <w:adjustRightInd w:val="0"/>
      <w:spacing w:before="0" w:after="0"/>
      <w:jc w:val="left"/>
    </w:pPr>
    <w:rPr>
      <w:rFonts w:ascii="EUAlbertina" w:hAnsi="EUAlbertina" w:cstheme="minorBidi"/>
      <w:szCs w:val="24"/>
    </w:rPr>
  </w:style>
  <w:style w:type="paragraph" w:customStyle="1" w:styleId="BodyA">
    <w:name w:val="Body A"/>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None">
    <w:name w:val="None"/>
  </w:style>
  <w:style w:type="paragraph" w:styleId="Normlnywebov">
    <w:name w:val="Normal (Web)"/>
    <w:basedOn w:val="Normlny"/>
    <w:uiPriority w:val="99"/>
    <w:unhideWhenUsed/>
    <w:pPr>
      <w:spacing w:before="100" w:beforeAutospacing="1" w:after="100" w:afterAutospacing="1"/>
      <w:jc w:val="left"/>
    </w:pPr>
    <w:rPr>
      <w:rFonts w:eastAsia="Times New Roman"/>
      <w:szCs w:val="24"/>
    </w:rPr>
  </w:style>
  <w:style w:type="paragraph" w:styleId="Popis">
    <w:name w:val="caption"/>
    <w:basedOn w:val="Normlny"/>
    <w:next w:val="Normlny"/>
    <w:unhideWhenUsed/>
    <w:qFormat/>
    <w:pPr>
      <w:spacing w:before="0" w:after="200"/>
    </w:pPr>
    <w:rPr>
      <w:b/>
      <w:bCs/>
      <w:color w:val="4F81BD" w:themeColor="accent1"/>
      <w:sz w:val="18"/>
      <w:szCs w:val="18"/>
    </w:rPr>
  </w:style>
  <w:style w:type="paragraph" w:styleId="Zoznamobrzkov">
    <w:name w:val="table of figures"/>
    <w:basedOn w:val="Normlny"/>
    <w:next w:val="Normlny"/>
    <w:unhideWhenUsed/>
    <w:pPr>
      <w:spacing w:after="0"/>
    </w:pPr>
  </w:style>
  <w:style w:type="paragraph" w:styleId="slovanzoznam">
    <w:name w:val="List Number"/>
    <w:basedOn w:val="Normlny"/>
    <w:unhideWhenUsed/>
    <w:pPr>
      <w:numPr>
        <w:numId w:val="8"/>
      </w:numPr>
      <w:contextualSpacing/>
    </w:pPr>
  </w:style>
  <w:style w:type="paragraph" w:styleId="slovanzoznam2">
    <w:name w:val="List Number 2"/>
    <w:basedOn w:val="Normlny"/>
    <w:unhideWhenUsed/>
    <w:pPr>
      <w:numPr>
        <w:numId w:val="9"/>
      </w:numPr>
      <w:contextualSpacing/>
    </w:pPr>
  </w:style>
  <w:style w:type="paragraph" w:styleId="slovanzoznam3">
    <w:name w:val="List Number 3"/>
    <w:basedOn w:val="Normlny"/>
    <w:unhideWhenUsed/>
    <w:pPr>
      <w:numPr>
        <w:numId w:val="10"/>
      </w:numPr>
      <w:contextualSpacing/>
    </w:pPr>
  </w:style>
  <w:style w:type="paragraph" w:styleId="slovanzoznam4">
    <w:name w:val="List Number 4"/>
    <w:basedOn w:val="Normlny"/>
    <w:unhideWhenUsed/>
    <w:pPr>
      <w:numPr>
        <w:numId w:val="11"/>
      </w:numPr>
      <w:contextualSpacing/>
    </w:pPr>
  </w:style>
  <w:style w:type="character" w:styleId="Hypertextovprepojenie">
    <w:name w:val="Hyperlink"/>
    <w:basedOn w:val="Predvolenpsmoodseku"/>
    <w:unhideWhenUsed/>
    <w:rPr>
      <w:color w:val="0000FF" w:themeColor="hyperlink"/>
      <w:u w:val="single"/>
    </w:rPr>
  </w:style>
  <w:style w:type="paragraph" w:customStyle="1" w:styleId="ListBullet1">
    <w:name w:val="List Bullet 1"/>
    <w:basedOn w:val="Normlny"/>
    <w:pPr>
      <w:numPr>
        <w:numId w:val="13"/>
      </w:numPr>
    </w:pPr>
    <w:rPr>
      <w:rFonts w:eastAsia="Times New Roman"/>
    </w:rPr>
  </w:style>
  <w:style w:type="paragraph" w:customStyle="1" w:styleId="ListDash1">
    <w:name w:val="List Dash 1"/>
    <w:basedOn w:val="Normlny"/>
    <w:pPr>
      <w:numPr>
        <w:numId w:val="14"/>
      </w:numPr>
    </w:pPr>
    <w:rPr>
      <w:rFonts w:eastAsia="Times New Roman"/>
    </w:rPr>
  </w:style>
  <w:style w:type="paragraph" w:customStyle="1" w:styleId="ListDash2">
    <w:name w:val="List Dash 2"/>
    <w:basedOn w:val="Normlny"/>
    <w:pPr>
      <w:numPr>
        <w:numId w:val="15"/>
      </w:numPr>
    </w:pPr>
    <w:rPr>
      <w:rFonts w:eastAsia="Times New Roman"/>
    </w:rPr>
  </w:style>
  <w:style w:type="paragraph" w:customStyle="1" w:styleId="ListNumberLevel2">
    <w:name w:val="List Number (Level 2)"/>
    <w:basedOn w:val="Normlny"/>
    <w:pPr>
      <w:tabs>
        <w:tab w:val="num" w:pos="1417"/>
      </w:tabs>
      <w:ind w:left="1417" w:hanging="708"/>
    </w:pPr>
    <w:rPr>
      <w:rFonts w:eastAsia="Times New Roman"/>
    </w:rPr>
  </w:style>
  <w:style w:type="paragraph" w:customStyle="1" w:styleId="ListNumberLevel3">
    <w:name w:val="List Number (Level 3)"/>
    <w:basedOn w:val="Normlny"/>
    <w:pPr>
      <w:tabs>
        <w:tab w:val="num" w:pos="2126"/>
      </w:tabs>
      <w:ind w:left="2126" w:hanging="709"/>
    </w:pPr>
    <w:rPr>
      <w:rFonts w:eastAsia="Times New Roman"/>
    </w:rPr>
  </w:style>
  <w:style w:type="paragraph" w:customStyle="1" w:styleId="ListNumberLevel4">
    <w:name w:val="List Number (Level 4)"/>
    <w:basedOn w:val="Normlny"/>
    <w:pPr>
      <w:tabs>
        <w:tab w:val="num" w:pos="2835"/>
      </w:tabs>
      <w:ind w:left="2835" w:hanging="709"/>
    </w:pPr>
    <w:rPr>
      <w:rFonts w:eastAsia="Times New Roman"/>
    </w:rPr>
  </w:style>
  <w:style w:type="character" w:styleId="PouitHypertextovPrepojenie">
    <w:name w:val="FollowedHyperlink"/>
    <w:rPr>
      <w:color w:val="800080"/>
      <w:u w:val="single"/>
    </w:rPr>
  </w:style>
  <w:style w:type="paragraph" w:styleId="Hlavika">
    <w:name w:val="header"/>
    <w:basedOn w:val="Normlny"/>
    <w:link w:val="HlavikaChar"/>
    <w:uiPriority w:val="99"/>
    <w:unhideWhenUsed/>
    <w:pPr>
      <w:tabs>
        <w:tab w:val="center" w:pos="4535"/>
        <w:tab w:val="right" w:pos="9071"/>
      </w:tabs>
      <w:spacing w:before="0"/>
    </w:pPr>
    <w:rPr>
      <w:lang w:eastAsia="en-US" w:bidi="ar-SA"/>
    </w:rPr>
  </w:style>
  <w:style w:type="character" w:customStyle="1" w:styleId="HlavikaChar">
    <w:name w:val="Hlavička Char"/>
    <w:basedOn w:val="Predvolenpsmoodseku"/>
    <w:link w:val="Hlavika"/>
    <w:uiPriority w:val="99"/>
    <w:rPr>
      <w:rFonts w:ascii="Times New Roman" w:hAnsi="Times New Roman" w:cs="Times New Roman"/>
      <w:sz w:val="24"/>
      <w:lang w:eastAsia="en-US" w:bidi="ar-SA"/>
    </w:rPr>
  </w:style>
  <w:style w:type="paragraph" w:styleId="Pta">
    <w:name w:val="footer"/>
    <w:basedOn w:val="Normlny"/>
    <w:link w:val="PtaChar"/>
    <w:uiPriority w:val="99"/>
    <w:unhideWhenUsed/>
    <w:pPr>
      <w:tabs>
        <w:tab w:val="center" w:pos="4535"/>
        <w:tab w:val="right" w:pos="9071"/>
        <w:tab w:val="right" w:pos="9921"/>
      </w:tabs>
      <w:spacing w:before="360" w:after="0"/>
      <w:ind w:left="-850" w:right="-850"/>
      <w:jc w:val="left"/>
    </w:pPr>
  </w:style>
  <w:style w:type="character" w:customStyle="1" w:styleId="PtaChar">
    <w:name w:val="Päta Char"/>
    <w:basedOn w:val="Predvolenpsmoodseku"/>
    <w:link w:val="Pta"/>
    <w:uiPriority w:val="99"/>
    <w:rPr>
      <w:rFonts w:ascii="Times New Roman" w:hAnsi="Times New Roman" w:cs="Times New Roman"/>
      <w:sz w:val="24"/>
      <w:shd w:val="clear" w:color="auto" w:fill="auto"/>
      <w:lang w:val="en-GB"/>
    </w:rPr>
  </w:style>
  <w:style w:type="paragraph" w:styleId="Textpoznmkypodiarou">
    <w:name w:val="footnote text"/>
    <w:basedOn w:val="Normlny"/>
    <w:link w:val="TextpoznmkypodiarouChar"/>
    <w:uiPriority w:val="99"/>
    <w:semiHidden/>
    <w:unhideWhenUsed/>
    <w:pPr>
      <w:spacing w:before="0" w:after="0"/>
      <w:ind w:left="720" w:hanging="720"/>
    </w:pPr>
    <w:rPr>
      <w:sz w:val="20"/>
      <w:szCs w:val="20"/>
    </w:rPr>
  </w:style>
  <w:style w:type="character" w:customStyle="1" w:styleId="TextpoznmkypodiarouChar">
    <w:name w:val="Text poznámky pod čiarou Char"/>
    <w:basedOn w:val="Predvolenpsmoodseku"/>
    <w:link w:val="Textpoznmkypodiarou"/>
    <w:uiPriority w:val="99"/>
    <w:semiHidden/>
    <w:rPr>
      <w:rFonts w:ascii="Times New Roman" w:hAnsi="Times New Roman" w:cs="Times New Roman"/>
      <w:sz w:val="20"/>
      <w:szCs w:val="20"/>
      <w:shd w:val="clear" w:color="auto" w:fill="auto"/>
      <w:lang w:val="en-GB"/>
    </w:rPr>
  </w:style>
  <w:style w:type="character" w:customStyle="1" w:styleId="Nadpis1Char">
    <w:name w:val="Nadpis 1 Char"/>
    <w:basedOn w:val="Predvolenpsmoodseku"/>
    <w:link w:val="Nadpis1"/>
    <w:uiPriority w:val="9"/>
    <w:rPr>
      <w:rFonts w:ascii="Times New Roman" w:eastAsiaTheme="majorEastAsia" w:hAnsi="Times New Roman" w:cs="Times New Roman"/>
      <w:b/>
      <w:bCs/>
      <w:smallCaps/>
      <w:sz w:val="24"/>
      <w:szCs w:val="28"/>
      <w:shd w:val="clear" w:color="auto" w:fill="auto"/>
      <w:lang w:val="en-GB"/>
    </w:rPr>
  </w:style>
  <w:style w:type="character" w:customStyle="1" w:styleId="Nadpis2Char">
    <w:name w:val="Nadpis 2 Char"/>
    <w:basedOn w:val="Predvolenpsmoodseku"/>
    <w:link w:val="Nadpis2"/>
    <w:uiPriority w:val="9"/>
    <w:semiHidden/>
    <w:rPr>
      <w:rFonts w:ascii="Times New Roman" w:eastAsiaTheme="majorEastAsia" w:hAnsi="Times New Roman" w:cs="Times New Roman"/>
      <w:b/>
      <w:bCs/>
      <w:sz w:val="24"/>
      <w:szCs w:val="26"/>
      <w:shd w:val="clear" w:color="auto" w:fill="auto"/>
      <w:lang w:val="en-GB"/>
    </w:rPr>
  </w:style>
  <w:style w:type="character" w:customStyle="1" w:styleId="Nadpis3Char">
    <w:name w:val="Nadpis 3 Char"/>
    <w:basedOn w:val="Predvolenpsmoodseku"/>
    <w:link w:val="Nadpis3"/>
    <w:uiPriority w:val="9"/>
    <w:semiHidden/>
    <w:rPr>
      <w:rFonts w:ascii="Times New Roman" w:eastAsiaTheme="majorEastAsia" w:hAnsi="Times New Roman" w:cs="Times New Roman"/>
      <w:bCs/>
      <w:i/>
      <w:sz w:val="24"/>
      <w:shd w:val="clear" w:color="auto" w:fill="auto"/>
      <w:lang w:val="en-GB"/>
    </w:rPr>
  </w:style>
  <w:style w:type="character" w:customStyle="1" w:styleId="Nadpis4Char">
    <w:name w:val="Nadpis 4 Char"/>
    <w:basedOn w:val="Predvolenpsmoodseku"/>
    <w:link w:val="Nadpis4"/>
    <w:uiPriority w:val="9"/>
    <w:semiHidden/>
    <w:rPr>
      <w:rFonts w:ascii="Times New Roman" w:eastAsiaTheme="majorEastAsia" w:hAnsi="Times New Roman" w:cs="Times New Roman"/>
      <w:bCs/>
      <w:iCs/>
      <w:sz w:val="24"/>
      <w:shd w:val="clear" w:color="auto" w:fill="auto"/>
      <w:lang w:val="en-GB"/>
    </w:rPr>
  </w:style>
  <w:style w:type="paragraph" w:styleId="Hlavikaobsahu">
    <w:name w:val="TOC Heading"/>
    <w:basedOn w:val="Normlny"/>
    <w:next w:val="Normlny"/>
    <w:uiPriority w:val="39"/>
    <w:semiHidden/>
    <w:unhideWhenUsed/>
    <w:qFormat/>
    <w:pPr>
      <w:spacing w:after="240"/>
      <w:jc w:val="center"/>
    </w:pPr>
    <w:rPr>
      <w:b/>
      <w:sz w:val="28"/>
    </w:rPr>
  </w:style>
  <w:style w:type="paragraph" w:styleId="Obsah1">
    <w:name w:val="toc 1"/>
    <w:basedOn w:val="Normlny"/>
    <w:next w:val="Normlny"/>
    <w:uiPriority w:val="39"/>
    <w:semiHidden/>
    <w:unhideWhenUsed/>
    <w:pPr>
      <w:tabs>
        <w:tab w:val="right" w:leader="dot" w:pos="9071"/>
      </w:tabs>
      <w:spacing w:before="60"/>
      <w:ind w:left="850" w:hanging="850"/>
      <w:jc w:val="left"/>
    </w:pPr>
  </w:style>
  <w:style w:type="paragraph" w:styleId="Obsah2">
    <w:name w:val="toc 2"/>
    <w:basedOn w:val="Normlny"/>
    <w:next w:val="Normlny"/>
    <w:uiPriority w:val="39"/>
    <w:semiHidden/>
    <w:unhideWhenUsed/>
    <w:pPr>
      <w:tabs>
        <w:tab w:val="right" w:leader="dot" w:pos="9071"/>
      </w:tabs>
      <w:spacing w:before="60"/>
      <w:ind w:left="850" w:hanging="850"/>
      <w:jc w:val="left"/>
    </w:pPr>
  </w:style>
  <w:style w:type="paragraph" w:styleId="Obsah3">
    <w:name w:val="toc 3"/>
    <w:basedOn w:val="Normlny"/>
    <w:next w:val="Normlny"/>
    <w:uiPriority w:val="39"/>
    <w:semiHidden/>
    <w:unhideWhenUsed/>
    <w:pPr>
      <w:tabs>
        <w:tab w:val="right" w:leader="dot" w:pos="9071"/>
      </w:tabs>
      <w:spacing w:before="60"/>
      <w:ind w:left="850" w:hanging="850"/>
      <w:jc w:val="left"/>
    </w:pPr>
  </w:style>
  <w:style w:type="paragraph" w:styleId="Obsah4">
    <w:name w:val="toc 4"/>
    <w:basedOn w:val="Normlny"/>
    <w:next w:val="Normlny"/>
    <w:uiPriority w:val="39"/>
    <w:semiHidden/>
    <w:unhideWhenUsed/>
    <w:pPr>
      <w:tabs>
        <w:tab w:val="right" w:leader="dot" w:pos="9071"/>
      </w:tabs>
      <w:spacing w:before="60"/>
      <w:ind w:left="850" w:hanging="850"/>
      <w:jc w:val="left"/>
    </w:pPr>
  </w:style>
  <w:style w:type="paragraph" w:styleId="Obsah5">
    <w:name w:val="toc 5"/>
    <w:basedOn w:val="Normlny"/>
    <w:next w:val="Normlny"/>
    <w:uiPriority w:val="39"/>
    <w:semiHidden/>
    <w:unhideWhenUsed/>
    <w:pPr>
      <w:tabs>
        <w:tab w:val="right" w:leader="dot" w:pos="9071"/>
      </w:tabs>
      <w:spacing w:before="300"/>
      <w:jc w:val="left"/>
    </w:pPr>
  </w:style>
  <w:style w:type="paragraph" w:styleId="Obsah6">
    <w:name w:val="toc 6"/>
    <w:basedOn w:val="Normlny"/>
    <w:next w:val="Normlny"/>
    <w:uiPriority w:val="39"/>
    <w:semiHidden/>
    <w:unhideWhenUsed/>
    <w:pPr>
      <w:tabs>
        <w:tab w:val="right" w:leader="dot" w:pos="9071"/>
      </w:tabs>
      <w:spacing w:before="240"/>
      <w:jc w:val="left"/>
    </w:pPr>
  </w:style>
  <w:style w:type="paragraph" w:styleId="Obsah7">
    <w:name w:val="toc 7"/>
    <w:basedOn w:val="Normlny"/>
    <w:next w:val="Normlny"/>
    <w:uiPriority w:val="39"/>
    <w:semiHidden/>
    <w:unhideWhenUsed/>
    <w:pPr>
      <w:tabs>
        <w:tab w:val="right" w:leader="dot" w:pos="9071"/>
      </w:tabs>
      <w:spacing w:before="180"/>
      <w:jc w:val="left"/>
    </w:pPr>
  </w:style>
  <w:style w:type="paragraph" w:styleId="Obsah8">
    <w:name w:val="toc 8"/>
    <w:basedOn w:val="Normlny"/>
    <w:next w:val="Normlny"/>
    <w:uiPriority w:val="39"/>
    <w:semiHidden/>
    <w:unhideWhenUsed/>
    <w:pPr>
      <w:tabs>
        <w:tab w:val="right" w:leader="dot" w:pos="9071"/>
      </w:tabs>
      <w:jc w:val="left"/>
    </w:pPr>
  </w:style>
  <w:style w:type="paragraph" w:styleId="Obsah9">
    <w:name w:val="toc 9"/>
    <w:basedOn w:val="Normlny"/>
    <w:next w:val="Normlny"/>
    <w:uiPriority w:val="39"/>
    <w:semiHidden/>
    <w:unhideWhenUsed/>
    <w:pPr>
      <w:tabs>
        <w:tab w:val="right" w:leader="dot" w:pos="9071"/>
      </w:tabs>
    </w:pPr>
  </w:style>
  <w:style w:type="paragraph" w:customStyle="1" w:styleId="HeaderLandscape">
    <w:name w:val="HeaderLandscape"/>
    <w:basedOn w:val="Normlny"/>
    <w:pPr>
      <w:tabs>
        <w:tab w:val="center" w:pos="7285"/>
        <w:tab w:val="right" w:pos="14003"/>
      </w:tabs>
      <w:spacing w:before="0"/>
    </w:pPr>
    <w:rPr>
      <w:lang w:eastAsia="en-US" w:bidi="ar-SA"/>
    </w:rPr>
  </w:style>
  <w:style w:type="paragraph" w:customStyle="1" w:styleId="FooterLandscape">
    <w:name w:val="FooterLandscape"/>
    <w:basedOn w:val="Normlny"/>
    <w:pPr>
      <w:tabs>
        <w:tab w:val="center" w:pos="7285"/>
        <w:tab w:val="center" w:pos="10913"/>
        <w:tab w:val="right" w:pos="15137"/>
      </w:tabs>
      <w:spacing w:before="360" w:after="0"/>
      <w:ind w:left="-567" w:right="-567"/>
      <w:jc w:val="left"/>
    </w:pPr>
  </w:style>
  <w:style w:type="character" w:styleId="Odkaznapoznmkupodiarou">
    <w:name w:val="footnote reference"/>
    <w:basedOn w:val="Predvolenpsmoodseku"/>
    <w:uiPriority w:val="99"/>
    <w:semiHidden/>
    <w:unhideWhenUsed/>
    <w:rPr>
      <w:shd w:val="clear" w:color="auto" w:fill="auto"/>
      <w:vertAlign w:val="superscript"/>
    </w:rPr>
  </w:style>
  <w:style w:type="paragraph" w:customStyle="1" w:styleId="Text1">
    <w:name w:val="Text 1"/>
    <w:basedOn w:val="Normlny"/>
    <w:pPr>
      <w:ind w:left="850"/>
    </w:pPr>
  </w:style>
  <w:style w:type="paragraph" w:customStyle="1" w:styleId="Text2">
    <w:name w:val="Text 2"/>
    <w:basedOn w:val="Normlny"/>
    <w:pPr>
      <w:ind w:left="1417"/>
    </w:pPr>
  </w:style>
  <w:style w:type="paragraph" w:customStyle="1" w:styleId="Text3">
    <w:name w:val="Text 3"/>
    <w:basedOn w:val="Normlny"/>
    <w:pPr>
      <w:ind w:left="1984"/>
    </w:pPr>
  </w:style>
  <w:style w:type="paragraph" w:customStyle="1" w:styleId="Text4">
    <w:name w:val="Text 4"/>
    <w:basedOn w:val="Normlny"/>
    <w:pPr>
      <w:ind w:left="2551"/>
    </w:pPr>
  </w:style>
  <w:style w:type="paragraph" w:customStyle="1" w:styleId="NormalCentered">
    <w:name w:val="Normal Centered"/>
    <w:basedOn w:val="Normlny"/>
    <w:pPr>
      <w:jc w:val="center"/>
    </w:pPr>
  </w:style>
  <w:style w:type="paragraph" w:customStyle="1" w:styleId="NormalLeft">
    <w:name w:val="Normal Left"/>
    <w:basedOn w:val="Normlny"/>
    <w:pPr>
      <w:jc w:val="left"/>
    </w:pPr>
  </w:style>
  <w:style w:type="paragraph" w:customStyle="1" w:styleId="NormalRight">
    <w:name w:val="Normal Right"/>
    <w:basedOn w:val="Normlny"/>
    <w:pPr>
      <w:jc w:val="right"/>
    </w:pPr>
  </w:style>
  <w:style w:type="paragraph" w:customStyle="1" w:styleId="QuotedText">
    <w:name w:val="Quoted Text"/>
    <w:basedOn w:val="Normlny"/>
    <w:pPr>
      <w:ind w:left="1417"/>
    </w:pPr>
  </w:style>
  <w:style w:type="paragraph" w:customStyle="1" w:styleId="Point0">
    <w:name w:val="Point 0"/>
    <w:basedOn w:val="Normlny"/>
    <w:pPr>
      <w:ind w:left="850" w:hanging="850"/>
    </w:pPr>
  </w:style>
  <w:style w:type="paragraph" w:customStyle="1" w:styleId="Point1">
    <w:name w:val="Point 1"/>
    <w:basedOn w:val="Normlny"/>
    <w:pPr>
      <w:ind w:left="1417" w:hanging="567"/>
    </w:pPr>
  </w:style>
  <w:style w:type="paragraph" w:customStyle="1" w:styleId="Point2">
    <w:name w:val="Point 2"/>
    <w:basedOn w:val="Normlny"/>
    <w:pPr>
      <w:ind w:left="1984" w:hanging="567"/>
    </w:pPr>
  </w:style>
  <w:style w:type="paragraph" w:customStyle="1" w:styleId="Point3">
    <w:name w:val="Point 3"/>
    <w:basedOn w:val="Normlny"/>
    <w:pPr>
      <w:ind w:left="2551" w:hanging="567"/>
    </w:pPr>
  </w:style>
  <w:style w:type="paragraph" w:customStyle="1" w:styleId="Point4">
    <w:name w:val="Point 4"/>
    <w:basedOn w:val="Normlny"/>
    <w:pPr>
      <w:ind w:left="3118" w:hanging="567"/>
    </w:pPr>
  </w:style>
  <w:style w:type="paragraph" w:customStyle="1" w:styleId="Tiret0">
    <w:name w:val="Tiret 0"/>
    <w:basedOn w:val="Point0"/>
    <w:pPr>
      <w:numPr>
        <w:numId w:val="31"/>
      </w:numPr>
    </w:pPr>
  </w:style>
  <w:style w:type="paragraph" w:customStyle="1" w:styleId="Tiret1">
    <w:name w:val="Tiret 1"/>
    <w:basedOn w:val="Point1"/>
    <w:pPr>
      <w:numPr>
        <w:numId w:val="32"/>
      </w:numPr>
    </w:pPr>
  </w:style>
  <w:style w:type="paragraph" w:customStyle="1" w:styleId="Tiret2">
    <w:name w:val="Tiret 2"/>
    <w:basedOn w:val="Point2"/>
    <w:pPr>
      <w:numPr>
        <w:numId w:val="33"/>
      </w:numPr>
    </w:pPr>
  </w:style>
  <w:style w:type="paragraph" w:customStyle="1" w:styleId="Tiret3">
    <w:name w:val="Tiret 3"/>
    <w:basedOn w:val="Point3"/>
    <w:pPr>
      <w:numPr>
        <w:numId w:val="34"/>
      </w:numPr>
    </w:pPr>
  </w:style>
  <w:style w:type="paragraph" w:customStyle="1" w:styleId="Tiret4">
    <w:name w:val="Tiret 4"/>
    <w:basedOn w:val="Point4"/>
    <w:pPr>
      <w:numPr>
        <w:numId w:val="35"/>
      </w:numPr>
    </w:pPr>
  </w:style>
  <w:style w:type="paragraph" w:customStyle="1" w:styleId="PointDouble0">
    <w:name w:val="PointDouble 0"/>
    <w:basedOn w:val="Normlny"/>
    <w:pPr>
      <w:tabs>
        <w:tab w:val="left" w:pos="850"/>
      </w:tabs>
      <w:ind w:left="1417" w:hanging="1417"/>
    </w:pPr>
  </w:style>
  <w:style w:type="paragraph" w:customStyle="1" w:styleId="PointDouble1">
    <w:name w:val="PointDouble 1"/>
    <w:basedOn w:val="Normlny"/>
    <w:pPr>
      <w:tabs>
        <w:tab w:val="left" w:pos="1417"/>
      </w:tabs>
      <w:ind w:left="1984" w:hanging="1134"/>
    </w:pPr>
  </w:style>
  <w:style w:type="paragraph" w:customStyle="1" w:styleId="PointDouble2">
    <w:name w:val="PointDouble 2"/>
    <w:basedOn w:val="Normlny"/>
    <w:pPr>
      <w:tabs>
        <w:tab w:val="left" w:pos="1984"/>
      </w:tabs>
      <w:ind w:left="2551" w:hanging="1134"/>
    </w:pPr>
  </w:style>
  <w:style w:type="paragraph" w:customStyle="1" w:styleId="PointDouble3">
    <w:name w:val="PointDouble 3"/>
    <w:basedOn w:val="Normlny"/>
    <w:pPr>
      <w:tabs>
        <w:tab w:val="left" w:pos="2551"/>
      </w:tabs>
      <w:ind w:left="3118" w:hanging="1134"/>
    </w:pPr>
  </w:style>
  <w:style w:type="paragraph" w:customStyle="1" w:styleId="PointDouble4">
    <w:name w:val="PointDouble 4"/>
    <w:basedOn w:val="Normlny"/>
    <w:pPr>
      <w:tabs>
        <w:tab w:val="left" w:pos="3118"/>
      </w:tabs>
      <w:ind w:left="3685" w:hanging="1134"/>
    </w:pPr>
  </w:style>
  <w:style w:type="paragraph" w:customStyle="1" w:styleId="PointTriple0">
    <w:name w:val="PointTriple 0"/>
    <w:basedOn w:val="Normlny"/>
    <w:pPr>
      <w:tabs>
        <w:tab w:val="left" w:pos="850"/>
        <w:tab w:val="left" w:pos="1417"/>
      </w:tabs>
      <w:ind w:left="1984" w:hanging="1984"/>
    </w:pPr>
  </w:style>
  <w:style w:type="paragraph" w:customStyle="1" w:styleId="PointTriple1">
    <w:name w:val="PointTriple 1"/>
    <w:basedOn w:val="Normlny"/>
    <w:pPr>
      <w:tabs>
        <w:tab w:val="left" w:pos="1417"/>
        <w:tab w:val="left" w:pos="1984"/>
      </w:tabs>
      <w:ind w:left="2551" w:hanging="1701"/>
    </w:pPr>
  </w:style>
  <w:style w:type="paragraph" w:customStyle="1" w:styleId="PointTriple2">
    <w:name w:val="PointTriple 2"/>
    <w:basedOn w:val="Normlny"/>
    <w:pPr>
      <w:tabs>
        <w:tab w:val="left" w:pos="1984"/>
        <w:tab w:val="left" w:pos="2551"/>
      </w:tabs>
      <w:ind w:left="3118" w:hanging="1701"/>
    </w:pPr>
  </w:style>
  <w:style w:type="paragraph" w:customStyle="1" w:styleId="PointTriple3">
    <w:name w:val="PointTriple 3"/>
    <w:basedOn w:val="Normlny"/>
    <w:pPr>
      <w:tabs>
        <w:tab w:val="left" w:pos="2551"/>
        <w:tab w:val="left" w:pos="3118"/>
      </w:tabs>
      <w:ind w:left="3685" w:hanging="1701"/>
    </w:pPr>
  </w:style>
  <w:style w:type="paragraph" w:customStyle="1" w:styleId="PointTriple4">
    <w:name w:val="PointTriple 4"/>
    <w:basedOn w:val="Normlny"/>
    <w:pPr>
      <w:tabs>
        <w:tab w:val="left" w:pos="3118"/>
        <w:tab w:val="left" w:pos="3685"/>
      </w:tabs>
      <w:ind w:left="4252" w:hanging="1701"/>
    </w:pPr>
  </w:style>
  <w:style w:type="paragraph" w:customStyle="1" w:styleId="NumPar1">
    <w:name w:val="NumPar 1"/>
    <w:basedOn w:val="Normlny"/>
    <w:next w:val="Text1"/>
    <w:pPr>
      <w:numPr>
        <w:numId w:val="36"/>
      </w:numPr>
    </w:pPr>
  </w:style>
  <w:style w:type="paragraph" w:customStyle="1" w:styleId="NumPar2">
    <w:name w:val="NumPar 2"/>
    <w:basedOn w:val="Normlny"/>
    <w:next w:val="Text1"/>
    <w:pPr>
      <w:numPr>
        <w:ilvl w:val="1"/>
        <w:numId w:val="36"/>
      </w:numPr>
    </w:pPr>
  </w:style>
  <w:style w:type="paragraph" w:customStyle="1" w:styleId="NumPar3">
    <w:name w:val="NumPar 3"/>
    <w:basedOn w:val="Normlny"/>
    <w:next w:val="Text1"/>
    <w:pPr>
      <w:numPr>
        <w:ilvl w:val="2"/>
        <w:numId w:val="36"/>
      </w:numPr>
    </w:pPr>
  </w:style>
  <w:style w:type="paragraph" w:customStyle="1" w:styleId="NumPar4">
    <w:name w:val="NumPar 4"/>
    <w:basedOn w:val="Normlny"/>
    <w:next w:val="Text1"/>
    <w:pPr>
      <w:numPr>
        <w:ilvl w:val="3"/>
        <w:numId w:val="36"/>
      </w:numPr>
    </w:pPr>
  </w:style>
  <w:style w:type="paragraph" w:customStyle="1" w:styleId="ManualNumPar1">
    <w:name w:val="Manual NumPar 1"/>
    <w:basedOn w:val="Normlny"/>
    <w:next w:val="Text1"/>
    <w:pPr>
      <w:ind w:left="850" w:hanging="850"/>
    </w:pPr>
  </w:style>
  <w:style w:type="paragraph" w:customStyle="1" w:styleId="ManualNumPar2">
    <w:name w:val="Manual NumPar 2"/>
    <w:basedOn w:val="Normlny"/>
    <w:next w:val="Text1"/>
    <w:pPr>
      <w:ind w:left="850" w:hanging="850"/>
    </w:pPr>
  </w:style>
  <w:style w:type="paragraph" w:customStyle="1" w:styleId="ManualNumPar3">
    <w:name w:val="Manual NumPar 3"/>
    <w:basedOn w:val="Normlny"/>
    <w:next w:val="Text1"/>
    <w:pPr>
      <w:ind w:left="850" w:hanging="850"/>
    </w:pPr>
  </w:style>
  <w:style w:type="paragraph" w:customStyle="1" w:styleId="ManualNumPar4">
    <w:name w:val="Manual NumPar 4"/>
    <w:basedOn w:val="Normlny"/>
    <w:next w:val="Text1"/>
    <w:pPr>
      <w:ind w:left="850" w:hanging="850"/>
    </w:pPr>
  </w:style>
  <w:style w:type="paragraph" w:customStyle="1" w:styleId="QuotedNumPar">
    <w:name w:val="Quoted NumPar"/>
    <w:basedOn w:val="Normlny"/>
    <w:pPr>
      <w:ind w:left="1417" w:hanging="567"/>
    </w:pPr>
  </w:style>
  <w:style w:type="paragraph" w:customStyle="1" w:styleId="ManualHeading1">
    <w:name w:val="Manual Heading 1"/>
    <w:basedOn w:val="Normlny"/>
    <w:next w:val="Text1"/>
    <w:pPr>
      <w:keepNext/>
      <w:tabs>
        <w:tab w:val="left" w:pos="850"/>
      </w:tabs>
      <w:spacing w:before="360"/>
      <w:ind w:left="850" w:hanging="850"/>
      <w:outlineLvl w:val="0"/>
    </w:pPr>
    <w:rPr>
      <w:b/>
      <w:smallCaps/>
    </w:rPr>
  </w:style>
  <w:style w:type="paragraph" w:customStyle="1" w:styleId="ManualHeading2">
    <w:name w:val="Manual Heading 2"/>
    <w:basedOn w:val="Normlny"/>
    <w:next w:val="Text1"/>
    <w:pPr>
      <w:keepNext/>
      <w:tabs>
        <w:tab w:val="left" w:pos="850"/>
      </w:tabs>
      <w:ind w:left="850" w:hanging="850"/>
      <w:outlineLvl w:val="1"/>
    </w:pPr>
    <w:rPr>
      <w:b/>
    </w:rPr>
  </w:style>
  <w:style w:type="paragraph" w:customStyle="1" w:styleId="ManualHeading3">
    <w:name w:val="Manual Heading 3"/>
    <w:basedOn w:val="Normlny"/>
    <w:next w:val="Text1"/>
    <w:pPr>
      <w:keepNext/>
      <w:tabs>
        <w:tab w:val="left" w:pos="850"/>
      </w:tabs>
      <w:ind w:left="850" w:hanging="850"/>
      <w:outlineLvl w:val="2"/>
    </w:pPr>
    <w:rPr>
      <w:i/>
    </w:rPr>
  </w:style>
  <w:style w:type="paragraph" w:customStyle="1" w:styleId="ManualHeading4">
    <w:name w:val="Manual Heading 4"/>
    <w:basedOn w:val="Normlny"/>
    <w:next w:val="Text1"/>
    <w:pPr>
      <w:keepNext/>
      <w:tabs>
        <w:tab w:val="left" w:pos="850"/>
      </w:tabs>
      <w:ind w:left="850" w:hanging="850"/>
      <w:outlineLvl w:val="3"/>
    </w:pPr>
  </w:style>
  <w:style w:type="paragraph" w:customStyle="1" w:styleId="ChapterTitle">
    <w:name w:val="ChapterTitle"/>
    <w:basedOn w:val="Normlny"/>
    <w:next w:val="Normlny"/>
    <w:pPr>
      <w:keepNext/>
      <w:spacing w:after="360"/>
      <w:jc w:val="center"/>
    </w:pPr>
    <w:rPr>
      <w:b/>
      <w:sz w:val="32"/>
    </w:rPr>
  </w:style>
  <w:style w:type="paragraph" w:customStyle="1" w:styleId="PartTitle">
    <w:name w:val="PartTitle"/>
    <w:basedOn w:val="Normlny"/>
    <w:next w:val="ChapterTitle"/>
    <w:pPr>
      <w:keepNext/>
      <w:pageBreakBefore/>
      <w:spacing w:after="360"/>
      <w:jc w:val="center"/>
    </w:pPr>
    <w:rPr>
      <w:b/>
      <w:sz w:val="36"/>
    </w:rPr>
  </w:style>
  <w:style w:type="paragraph" w:customStyle="1" w:styleId="SectionTitle">
    <w:name w:val="SectionTitle"/>
    <w:basedOn w:val="Normlny"/>
    <w:next w:val="Nadpis1"/>
    <w:pPr>
      <w:keepNext/>
      <w:spacing w:after="360"/>
      <w:jc w:val="center"/>
    </w:pPr>
    <w:rPr>
      <w:b/>
      <w:smallCaps/>
      <w:sz w:val="28"/>
    </w:rPr>
  </w:style>
  <w:style w:type="paragraph" w:customStyle="1" w:styleId="TableTitle">
    <w:name w:val="Table Title"/>
    <w:basedOn w:val="Normlny"/>
    <w:next w:val="Normlny"/>
    <w:pPr>
      <w:jc w:val="center"/>
    </w:pPr>
    <w:rPr>
      <w:b/>
    </w:rPr>
  </w:style>
  <w:style w:type="character" w:customStyle="1" w:styleId="Marker">
    <w:name w:val="Marker"/>
    <w:basedOn w:val="Predvolenpsmoodseku"/>
    <w:rPr>
      <w:color w:val="0000FF"/>
      <w:shd w:val="clear" w:color="auto" w:fill="auto"/>
    </w:rPr>
  </w:style>
  <w:style w:type="character" w:customStyle="1" w:styleId="Marker1">
    <w:name w:val="Marker1"/>
    <w:basedOn w:val="Predvolenpsmoodseku"/>
    <w:rPr>
      <w:color w:val="008000"/>
      <w:shd w:val="clear" w:color="auto" w:fill="auto"/>
    </w:rPr>
  </w:style>
  <w:style w:type="character" w:customStyle="1" w:styleId="Marker2">
    <w:name w:val="Marker2"/>
    <w:basedOn w:val="Predvolenpsmoodseku"/>
    <w:rPr>
      <w:color w:val="FF0000"/>
      <w:shd w:val="clear" w:color="auto" w:fill="auto"/>
    </w:rPr>
  </w:style>
  <w:style w:type="paragraph" w:customStyle="1" w:styleId="Point0number">
    <w:name w:val="Point 0 (number)"/>
    <w:basedOn w:val="Normlny"/>
    <w:pPr>
      <w:numPr>
        <w:numId w:val="38"/>
      </w:numPr>
    </w:pPr>
  </w:style>
  <w:style w:type="paragraph" w:customStyle="1" w:styleId="Point1number">
    <w:name w:val="Point 1 (number)"/>
    <w:basedOn w:val="Normlny"/>
    <w:pPr>
      <w:numPr>
        <w:ilvl w:val="2"/>
        <w:numId w:val="38"/>
      </w:numPr>
    </w:pPr>
  </w:style>
  <w:style w:type="paragraph" w:customStyle="1" w:styleId="Point2number">
    <w:name w:val="Point 2 (number)"/>
    <w:basedOn w:val="Normlny"/>
    <w:pPr>
      <w:numPr>
        <w:ilvl w:val="4"/>
        <w:numId w:val="38"/>
      </w:numPr>
    </w:pPr>
  </w:style>
  <w:style w:type="paragraph" w:customStyle="1" w:styleId="Point3number">
    <w:name w:val="Point 3 (number)"/>
    <w:basedOn w:val="Normlny"/>
    <w:pPr>
      <w:numPr>
        <w:ilvl w:val="6"/>
        <w:numId w:val="38"/>
      </w:numPr>
    </w:pPr>
  </w:style>
  <w:style w:type="paragraph" w:customStyle="1" w:styleId="Point0letter">
    <w:name w:val="Point 0 (letter)"/>
    <w:basedOn w:val="Normlny"/>
    <w:pPr>
      <w:numPr>
        <w:ilvl w:val="1"/>
        <w:numId w:val="38"/>
      </w:numPr>
    </w:pPr>
  </w:style>
  <w:style w:type="paragraph" w:customStyle="1" w:styleId="Point1letter">
    <w:name w:val="Point 1 (letter)"/>
    <w:basedOn w:val="Normlny"/>
    <w:pPr>
      <w:numPr>
        <w:ilvl w:val="3"/>
        <w:numId w:val="38"/>
      </w:numPr>
    </w:pPr>
  </w:style>
  <w:style w:type="paragraph" w:customStyle="1" w:styleId="Point2letter">
    <w:name w:val="Point 2 (letter)"/>
    <w:basedOn w:val="Normlny"/>
    <w:pPr>
      <w:numPr>
        <w:ilvl w:val="5"/>
        <w:numId w:val="38"/>
      </w:numPr>
    </w:pPr>
  </w:style>
  <w:style w:type="paragraph" w:customStyle="1" w:styleId="Point3letter">
    <w:name w:val="Point 3 (letter)"/>
    <w:basedOn w:val="Normlny"/>
    <w:pPr>
      <w:numPr>
        <w:ilvl w:val="7"/>
        <w:numId w:val="38"/>
      </w:numPr>
    </w:pPr>
  </w:style>
  <w:style w:type="paragraph" w:customStyle="1" w:styleId="Point4letter">
    <w:name w:val="Point 4 (letter)"/>
    <w:basedOn w:val="Normlny"/>
    <w:pPr>
      <w:numPr>
        <w:ilvl w:val="8"/>
        <w:numId w:val="38"/>
      </w:numPr>
    </w:pPr>
  </w:style>
  <w:style w:type="paragraph" w:customStyle="1" w:styleId="Bullet0">
    <w:name w:val="Bullet 0"/>
    <w:basedOn w:val="Normlny"/>
    <w:pPr>
      <w:numPr>
        <w:numId w:val="39"/>
      </w:numPr>
    </w:pPr>
  </w:style>
  <w:style w:type="paragraph" w:customStyle="1" w:styleId="Bullet1">
    <w:name w:val="Bullet 1"/>
    <w:basedOn w:val="Normlny"/>
    <w:pPr>
      <w:numPr>
        <w:numId w:val="40"/>
      </w:numPr>
    </w:pPr>
  </w:style>
  <w:style w:type="paragraph" w:customStyle="1" w:styleId="Bullet2">
    <w:name w:val="Bullet 2"/>
    <w:basedOn w:val="Normlny"/>
    <w:pPr>
      <w:numPr>
        <w:numId w:val="41"/>
      </w:numPr>
    </w:pPr>
  </w:style>
  <w:style w:type="paragraph" w:customStyle="1" w:styleId="Bullet3">
    <w:name w:val="Bullet 3"/>
    <w:basedOn w:val="Normlny"/>
    <w:pPr>
      <w:numPr>
        <w:numId w:val="42"/>
      </w:numPr>
    </w:pPr>
  </w:style>
  <w:style w:type="paragraph" w:customStyle="1" w:styleId="Bullet4">
    <w:name w:val="Bullet 4"/>
    <w:basedOn w:val="Normlny"/>
    <w:pPr>
      <w:numPr>
        <w:numId w:val="43"/>
      </w:numPr>
    </w:pPr>
  </w:style>
  <w:style w:type="paragraph" w:customStyle="1" w:styleId="Annexetitreexpos">
    <w:name w:val="Annexe titre (exposé)"/>
    <w:basedOn w:val="Normlny"/>
    <w:next w:val="Normlny"/>
    <w:pPr>
      <w:jc w:val="center"/>
    </w:pPr>
    <w:rPr>
      <w:b/>
      <w:u w:val="single"/>
    </w:rPr>
  </w:style>
  <w:style w:type="paragraph" w:customStyle="1" w:styleId="Annexetitre">
    <w:name w:val="Annexe titre"/>
    <w:basedOn w:val="Normlny"/>
    <w:next w:val="Normlny"/>
    <w:pPr>
      <w:jc w:val="center"/>
    </w:pPr>
    <w:rPr>
      <w:b/>
      <w:u w:val="single"/>
    </w:rPr>
  </w:style>
  <w:style w:type="paragraph" w:customStyle="1" w:styleId="Annexetitrefichefinancire">
    <w:name w:val="Annexe titre (fiche financière)"/>
    <w:basedOn w:val="Normlny"/>
    <w:next w:val="Normlny"/>
    <w:pPr>
      <w:jc w:val="center"/>
    </w:pPr>
    <w:rPr>
      <w:b/>
      <w:u w:val="single"/>
    </w:rPr>
  </w:style>
  <w:style w:type="paragraph" w:customStyle="1" w:styleId="Applicationdirecte">
    <w:name w:val="Application directe"/>
    <w:basedOn w:val="Normlny"/>
    <w:next w:val="Fait"/>
    <w:pPr>
      <w:spacing w:before="480"/>
    </w:pPr>
  </w:style>
  <w:style w:type="paragraph" w:customStyle="1" w:styleId="Avertissementtitre">
    <w:name w:val="Avertissement titre"/>
    <w:basedOn w:val="Normlny"/>
    <w:next w:val="Normlny"/>
    <w:pPr>
      <w:keepNext/>
      <w:spacing w:before="480"/>
    </w:pPr>
    <w:rPr>
      <w:u w:val="single"/>
    </w:rPr>
  </w:style>
  <w:style w:type="paragraph" w:customStyle="1" w:styleId="Confidence">
    <w:name w:val="Confidence"/>
    <w:basedOn w:val="Normlny"/>
    <w:next w:val="Normlny"/>
    <w:pPr>
      <w:spacing w:before="360"/>
      <w:jc w:val="center"/>
    </w:pPr>
  </w:style>
  <w:style w:type="paragraph" w:customStyle="1" w:styleId="Confidentialit">
    <w:name w:val="Confidentialité"/>
    <w:basedOn w:val="Normlny"/>
    <w:next w:val="TypedudocumentPagedecouverture"/>
    <w:pPr>
      <w:spacing w:before="240" w:after="240"/>
      <w:ind w:left="5103"/>
      <w:jc w:val="left"/>
    </w:pPr>
    <w:rPr>
      <w:i/>
      <w:sz w:val="32"/>
    </w:rPr>
  </w:style>
  <w:style w:type="paragraph" w:customStyle="1" w:styleId="Considrant">
    <w:name w:val="Considérant"/>
    <w:basedOn w:val="Normlny"/>
    <w:pPr>
      <w:numPr>
        <w:numId w:val="44"/>
      </w:numPr>
    </w:pPr>
  </w:style>
  <w:style w:type="paragraph" w:customStyle="1" w:styleId="Corrigendum">
    <w:name w:val="Corrigendum"/>
    <w:basedOn w:val="Normlny"/>
    <w:next w:val="Normlny"/>
    <w:pPr>
      <w:spacing w:before="0" w:after="240"/>
      <w:jc w:val="left"/>
    </w:pPr>
  </w:style>
  <w:style w:type="paragraph" w:customStyle="1" w:styleId="Datedadoption">
    <w:name w:val="Date d'adoption"/>
    <w:basedOn w:val="Normlny"/>
    <w:next w:val="Titreobjet"/>
    <w:pPr>
      <w:spacing w:before="360" w:after="0"/>
      <w:jc w:val="center"/>
    </w:pPr>
    <w:rPr>
      <w:b/>
    </w:rPr>
  </w:style>
  <w:style w:type="paragraph" w:customStyle="1" w:styleId="Emission">
    <w:name w:val="Emission"/>
    <w:basedOn w:val="Normlny"/>
    <w:next w:val="Rfrenceinstitutionnelle"/>
    <w:pPr>
      <w:spacing w:before="0" w:after="0"/>
      <w:ind w:left="5103"/>
      <w:jc w:val="left"/>
    </w:pPr>
  </w:style>
  <w:style w:type="paragraph" w:customStyle="1" w:styleId="Exposdesmotifstitre">
    <w:name w:val="Exposé des motifs titre"/>
    <w:basedOn w:val="Normlny"/>
    <w:next w:val="Normlny"/>
    <w:pPr>
      <w:jc w:val="center"/>
    </w:pPr>
    <w:rPr>
      <w:b/>
      <w:u w:val="single"/>
    </w:rPr>
  </w:style>
  <w:style w:type="paragraph" w:customStyle="1" w:styleId="Fait">
    <w:name w:val="Fait à"/>
    <w:basedOn w:val="Normlny"/>
    <w:next w:val="Institutionquisigne"/>
    <w:pPr>
      <w:keepNext/>
      <w:spacing w:after="0"/>
    </w:pPr>
  </w:style>
  <w:style w:type="paragraph" w:customStyle="1" w:styleId="Formuledadoption">
    <w:name w:val="Formule d'adoption"/>
    <w:basedOn w:val="Normlny"/>
    <w:next w:val="Titrearticle"/>
    <w:pPr>
      <w:keepNext/>
    </w:pPr>
  </w:style>
  <w:style w:type="paragraph" w:customStyle="1" w:styleId="Institutionquiagit">
    <w:name w:val="Institution qui agit"/>
    <w:basedOn w:val="Normlny"/>
    <w:next w:val="Normlny"/>
    <w:pPr>
      <w:keepNext/>
      <w:spacing w:before="600"/>
    </w:pPr>
  </w:style>
  <w:style w:type="paragraph" w:customStyle="1" w:styleId="Institutionquisigne">
    <w:name w:val="Institution qui signe"/>
    <w:basedOn w:val="Normlny"/>
    <w:next w:val="Personnequisigne"/>
    <w:pPr>
      <w:keepNext/>
      <w:tabs>
        <w:tab w:val="left" w:pos="4252"/>
      </w:tabs>
      <w:spacing w:before="720" w:after="0"/>
    </w:pPr>
    <w:rPr>
      <w:i/>
    </w:rPr>
  </w:style>
  <w:style w:type="paragraph" w:customStyle="1" w:styleId="Langue">
    <w:name w:val="Langue"/>
    <w:basedOn w:val="Normlny"/>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lny"/>
    <w:pPr>
      <w:ind w:left="709" w:hanging="709"/>
    </w:pPr>
  </w:style>
  <w:style w:type="paragraph" w:customStyle="1" w:styleId="Nomdelinstitution">
    <w:name w:val="Nom de l'institution"/>
    <w:basedOn w:val="Normlny"/>
    <w:next w:val="Emission"/>
    <w:pPr>
      <w:spacing w:before="0" w:after="0"/>
      <w:jc w:val="left"/>
    </w:pPr>
    <w:rPr>
      <w:rFonts w:ascii="Arial" w:hAnsi="Arial" w:cs="Arial"/>
    </w:rPr>
  </w:style>
  <w:style w:type="paragraph" w:customStyle="1" w:styleId="Personnequisigne">
    <w:name w:val="Personne qui signe"/>
    <w:basedOn w:val="Normlny"/>
    <w:next w:val="Institutionquisigne"/>
    <w:pPr>
      <w:tabs>
        <w:tab w:val="left" w:pos="4252"/>
      </w:tabs>
      <w:spacing w:before="0" w:after="0"/>
      <w:jc w:val="left"/>
    </w:pPr>
    <w:rPr>
      <w:i/>
    </w:rPr>
  </w:style>
  <w:style w:type="paragraph" w:customStyle="1" w:styleId="Rfrenceinstitutionnelle">
    <w:name w:val="Référence institutionnelle"/>
    <w:basedOn w:val="Normlny"/>
    <w:next w:val="Confidentialit"/>
    <w:pPr>
      <w:spacing w:before="0" w:after="240"/>
      <w:ind w:left="5103"/>
      <w:jc w:val="left"/>
    </w:pPr>
  </w:style>
  <w:style w:type="paragraph" w:customStyle="1" w:styleId="Rfrenceinterinstitutionnelle">
    <w:name w:val="Référence interinstitutionnelle"/>
    <w:basedOn w:val="Normlny"/>
    <w:next w:val="Statut"/>
    <w:pPr>
      <w:spacing w:before="0" w:after="0"/>
      <w:ind w:left="5103"/>
      <w:jc w:val="left"/>
    </w:pPr>
  </w:style>
  <w:style w:type="paragraph" w:customStyle="1" w:styleId="Rfrenceinterne">
    <w:name w:val="Référence interne"/>
    <w:basedOn w:val="Normlny"/>
    <w:next w:val="Rfrenceinterinstitutionnelle"/>
    <w:pPr>
      <w:spacing w:before="0" w:after="0"/>
      <w:ind w:left="5103"/>
      <w:jc w:val="left"/>
    </w:pPr>
  </w:style>
  <w:style w:type="paragraph" w:customStyle="1" w:styleId="Sous-titreobjet">
    <w:name w:val="Sous-titre objet"/>
    <w:basedOn w:val="Normlny"/>
    <w:pPr>
      <w:spacing w:before="0" w:after="0"/>
      <w:jc w:val="center"/>
    </w:pPr>
    <w:rPr>
      <w:b/>
    </w:rPr>
  </w:style>
  <w:style w:type="paragraph" w:customStyle="1" w:styleId="Statut">
    <w:name w:val="Statut"/>
    <w:basedOn w:val="Normlny"/>
    <w:next w:val="Typedudocument"/>
    <w:pPr>
      <w:spacing w:before="360" w:after="0"/>
      <w:jc w:val="center"/>
    </w:pPr>
  </w:style>
  <w:style w:type="paragraph" w:customStyle="1" w:styleId="Titrearticle">
    <w:name w:val="Titre article"/>
    <w:basedOn w:val="Normlny"/>
    <w:next w:val="Normlny"/>
    <w:pPr>
      <w:keepNext/>
      <w:spacing w:before="360"/>
      <w:jc w:val="center"/>
    </w:pPr>
    <w:rPr>
      <w:i/>
    </w:rPr>
  </w:style>
  <w:style w:type="paragraph" w:customStyle="1" w:styleId="Titreobjet">
    <w:name w:val="Titre objet"/>
    <w:basedOn w:val="Normlny"/>
    <w:next w:val="Sous-titreobjet"/>
    <w:pPr>
      <w:spacing w:before="360" w:after="360"/>
      <w:jc w:val="center"/>
    </w:pPr>
    <w:rPr>
      <w:b/>
    </w:rPr>
  </w:style>
  <w:style w:type="paragraph" w:customStyle="1" w:styleId="Typedudocument">
    <w:name w:val="Type du document"/>
    <w:basedOn w:val="Normlny"/>
    <w:next w:val="Titreobjet"/>
    <w:pPr>
      <w:spacing w:before="360" w:after="0"/>
      <w:jc w:val="center"/>
    </w:pPr>
    <w:rPr>
      <w:b/>
    </w:rPr>
  </w:style>
  <w:style w:type="character" w:customStyle="1" w:styleId="Added">
    <w:name w:val="Added"/>
    <w:basedOn w:val="Predvolenpsmoodseku"/>
    <w:rPr>
      <w:b/>
      <w:u w:val="single"/>
      <w:shd w:val="clear" w:color="auto" w:fill="auto"/>
    </w:rPr>
  </w:style>
  <w:style w:type="character" w:customStyle="1" w:styleId="Deleted">
    <w:name w:val="Deleted"/>
    <w:basedOn w:val="Predvolenpsmoodseku"/>
    <w:rPr>
      <w:strike/>
      <w:dstrike w:val="0"/>
      <w:shd w:val="clear" w:color="auto" w:fill="auto"/>
    </w:rPr>
  </w:style>
  <w:style w:type="paragraph" w:customStyle="1" w:styleId="Address">
    <w:name w:val="Address"/>
    <w:basedOn w:val="Normlny"/>
    <w:next w:val="Normlny"/>
    <w:pPr>
      <w:keepLines/>
      <w:spacing w:line="360" w:lineRule="auto"/>
      <w:ind w:left="3402"/>
      <w:jc w:val="left"/>
    </w:pPr>
  </w:style>
  <w:style w:type="paragraph" w:customStyle="1" w:styleId="Objetexterne">
    <w:name w:val="Objet externe"/>
    <w:basedOn w:val="Normlny"/>
    <w:next w:val="Normlny"/>
    <w:rPr>
      <w:i/>
      <w:caps/>
    </w:rPr>
  </w:style>
  <w:style w:type="paragraph" w:customStyle="1" w:styleId="Pagedecouverture">
    <w:name w:val="Page de couverture"/>
    <w:basedOn w:val="Normlny"/>
    <w:next w:val="Normlny"/>
    <w:pPr>
      <w:spacing w:before="0" w:after="0"/>
    </w:pPr>
  </w:style>
  <w:style w:type="paragraph" w:customStyle="1" w:styleId="Supertitre">
    <w:name w:val="Supertitre"/>
    <w:basedOn w:val="Normlny"/>
    <w:next w:val="Normlny"/>
    <w:pPr>
      <w:spacing w:before="0" w:after="600"/>
      <w:jc w:val="center"/>
    </w:pPr>
    <w:rPr>
      <w:b/>
    </w:rPr>
  </w:style>
  <w:style w:type="paragraph" w:customStyle="1" w:styleId="Languesfaisantfoi">
    <w:name w:val="Langues faisant foi"/>
    <w:basedOn w:val="Normlny"/>
    <w:next w:val="Normlny"/>
    <w:pPr>
      <w:spacing w:before="360" w:after="0"/>
      <w:jc w:val="center"/>
    </w:pPr>
  </w:style>
  <w:style w:type="paragraph" w:customStyle="1" w:styleId="Rfrencecroise">
    <w:name w:val="Référence croisée"/>
    <w:basedOn w:val="Normlny"/>
    <w:pPr>
      <w:spacing w:before="0" w:after="0"/>
      <w:jc w:val="center"/>
    </w:pPr>
  </w:style>
  <w:style w:type="paragraph" w:customStyle="1" w:styleId="Fichefinanciretitre">
    <w:name w:val="Fiche financière titre"/>
    <w:basedOn w:val="Normlny"/>
    <w:next w:val="Normlny"/>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lny"/>
    <w:next w:val="Confidentialit"/>
    <w:pPr>
      <w:spacing w:before="0" w:after="240"/>
      <w:ind w:left="5103"/>
      <w:jc w:val="left"/>
    </w:pPr>
  </w:style>
  <w:style w:type="paragraph" w:customStyle="1" w:styleId="IntrtEEE">
    <w:name w:val="Intérêt EEE"/>
    <w:basedOn w:val="Languesfaisantfoi"/>
    <w:next w:val="Normlny"/>
    <w:pPr>
      <w:spacing w:after="240"/>
    </w:pPr>
  </w:style>
  <w:style w:type="paragraph" w:customStyle="1" w:styleId="Accompagnant">
    <w:name w:val="Accompagnant"/>
    <w:basedOn w:val="Normlny"/>
    <w:next w:val="Typeacteprincipal"/>
    <w:pPr>
      <w:spacing w:before="0" w:after="240"/>
      <w:jc w:val="center"/>
    </w:pPr>
    <w:rPr>
      <w:b/>
      <w:i/>
    </w:rPr>
  </w:style>
  <w:style w:type="paragraph" w:customStyle="1" w:styleId="Typeacteprincipal">
    <w:name w:val="Type acte principal"/>
    <w:basedOn w:val="Normlny"/>
    <w:next w:val="Objetacteprincipal"/>
    <w:pPr>
      <w:spacing w:before="0" w:after="240"/>
      <w:jc w:val="center"/>
    </w:pPr>
    <w:rPr>
      <w:b/>
    </w:rPr>
  </w:style>
  <w:style w:type="paragraph" w:customStyle="1" w:styleId="Objetacteprincipal">
    <w:name w:val="Objet acte principal"/>
    <w:basedOn w:val="Normlny"/>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lny"/>
    <w:next w:val="Normlny"/>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815244">
      <w:bodyDiv w:val="1"/>
      <w:marLeft w:val="0"/>
      <w:marRight w:val="0"/>
      <w:marTop w:val="0"/>
      <w:marBottom w:val="0"/>
      <w:divBdr>
        <w:top w:val="none" w:sz="0" w:space="0" w:color="auto"/>
        <w:left w:val="none" w:sz="0" w:space="0" w:color="auto"/>
        <w:bottom w:val="none" w:sz="0" w:space="0" w:color="auto"/>
        <w:right w:val="none" w:sz="0" w:space="0" w:color="auto"/>
      </w:divBdr>
      <w:divsChild>
        <w:div w:id="1158308765">
          <w:marLeft w:val="0"/>
          <w:marRight w:val="0"/>
          <w:marTop w:val="0"/>
          <w:marBottom w:val="0"/>
          <w:divBdr>
            <w:top w:val="none" w:sz="0" w:space="0" w:color="auto"/>
            <w:left w:val="none" w:sz="0" w:space="0" w:color="auto"/>
            <w:bottom w:val="none" w:sz="0" w:space="0" w:color="auto"/>
            <w:right w:val="none" w:sz="0" w:space="0" w:color="auto"/>
          </w:divBdr>
          <w:divsChild>
            <w:div w:id="399209849">
              <w:marLeft w:val="0"/>
              <w:marRight w:val="0"/>
              <w:marTop w:val="0"/>
              <w:marBottom w:val="0"/>
              <w:divBdr>
                <w:top w:val="none" w:sz="0" w:space="0" w:color="auto"/>
                <w:left w:val="none" w:sz="0" w:space="0" w:color="auto"/>
                <w:bottom w:val="none" w:sz="0" w:space="0" w:color="auto"/>
                <w:right w:val="none" w:sz="0" w:space="0" w:color="auto"/>
              </w:divBdr>
              <w:divsChild>
                <w:div w:id="770130012">
                  <w:marLeft w:val="0"/>
                  <w:marRight w:val="0"/>
                  <w:marTop w:val="0"/>
                  <w:marBottom w:val="0"/>
                  <w:divBdr>
                    <w:top w:val="none" w:sz="0" w:space="0" w:color="auto"/>
                    <w:left w:val="none" w:sz="0" w:space="0" w:color="auto"/>
                    <w:bottom w:val="none" w:sz="0" w:space="0" w:color="auto"/>
                    <w:right w:val="none" w:sz="0" w:space="0" w:color="auto"/>
                  </w:divBdr>
                  <w:divsChild>
                    <w:div w:id="2012445239">
                      <w:marLeft w:val="1"/>
                      <w:marRight w:val="1"/>
                      <w:marTop w:val="0"/>
                      <w:marBottom w:val="0"/>
                      <w:divBdr>
                        <w:top w:val="none" w:sz="0" w:space="0" w:color="auto"/>
                        <w:left w:val="none" w:sz="0" w:space="0" w:color="auto"/>
                        <w:bottom w:val="none" w:sz="0" w:space="0" w:color="auto"/>
                        <w:right w:val="none" w:sz="0" w:space="0" w:color="auto"/>
                      </w:divBdr>
                      <w:divsChild>
                        <w:div w:id="736325746">
                          <w:marLeft w:val="0"/>
                          <w:marRight w:val="0"/>
                          <w:marTop w:val="0"/>
                          <w:marBottom w:val="0"/>
                          <w:divBdr>
                            <w:top w:val="none" w:sz="0" w:space="0" w:color="auto"/>
                            <w:left w:val="none" w:sz="0" w:space="0" w:color="auto"/>
                            <w:bottom w:val="none" w:sz="0" w:space="0" w:color="auto"/>
                            <w:right w:val="none" w:sz="0" w:space="0" w:color="auto"/>
                          </w:divBdr>
                          <w:divsChild>
                            <w:div w:id="243226688">
                              <w:marLeft w:val="0"/>
                              <w:marRight w:val="0"/>
                              <w:marTop w:val="0"/>
                              <w:marBottom w:val="360"/>
                              <w:divBdr>
                                <w:top w:val="none" w:sz="0" w:space="0" w:color="auto"/>
                                <w:left w:val="none" w:sz="0" w:space="0" w:color="auto"/>
                                <w:bottom w:val="none" w:sz="0" w:space="0" w:color="auto"/>
                                <w:right w:val="none" w:sz="0" w:space="0" w:color="auto"/>
                              </w:divBdr>
                              <w:divsChild>
                                <w:div w:id="686830326">
                                  <w:marLeft w:val="0"/>
                                  <w:marRight w:val="0"/>
                                  <w:marTop w:val="0"/>
                                  <w:marBottom w:val="0"/>
                                  <w:divBdr>
                                    <w:top w:val="none" w:sz="0" w:space="0" w:color="auto"/>
                                    <w:left w:val="none" w:sz="0" w:space="0" w:color="auto"/>
                                    <w:bottom w:val="none" w:sz="0" w:space="0" w:color="auto"/>
                                    <w:right w:val="none" w:sz="0" w:space="0" w:color="auto"/>
                                  </w:divBdr>
                                  <w:divsChild>
                                    <w:div w:id="1601913638">
                                      <w:marLeft w:val="0"/>
                                      <w:marRight w:val="0"/>
                                      <w:marTop w:val="0"/>
                                      <w:marBottom w:val="0"/>
                                      <w:divBdr>
                                        <w:top w:val="none" w:sz="0" w:space="0" w:color="auto"/>
                                        <w:left w:val="none" w:sz="0" w:space="0" w:color="auto"/>
                                        <w:bottom w:val="none" w:sz="0" w:space="0" w:color="auto"/>
                                        <w:right w:val="none" w:sz="0" w:space="0" w:color="auto"/>
                                      </w:divBdr>
                                      <w:divsChild>
                                        <w:div w:id="2104951751">
                                          <w:marLeft w:val="0"/>
                                          <w:marRight w:val="0"/>
                                          <w:marTop w:val="0"/>
                                          <w:marBottom w:val="0"/>
                                          <w:divBdr>
                                            <w:top w:val="none" w:sz="0" w:space="0" w:color="auto"/>
                                            <w:left w:val="none" w:sz="0" w:space="0" w:color="auto"/>
                                            <w:bottom w:val="none" w:sz="0" w:space="0" w:color="auto"/>
                                            <w:right w:val="none" w:sz="0" w:space="0" w:color="auto"/>
                                          </w:divBdr>
                                          <w:divsChild>
                                            <w:div w:id="482890267">
                                              <w:marLeft w:val="0"/>
                                              <w:marRight w:val="0"/>
                                              <w:marTop w:val="0"/>
                                              <w:marBottom w:val="0"/>
                                              <w:divBdr>
                                                <w:top w:val="none" w:sz="0" w:space="0" w:color="auto"/>
                                                <w:left w:val="none" w:sz="0" w:space="0" w:color="auto"/>
                                                <w:bottom w:val="none" w:sz="0" w:space="0" w:color="auto"/>
                                                <w:right w:val="none" w:sz="0" w:space="0" w:color="auto"/>
                                              </w:divBdr>
                                              <w:divsChild>
                                                <w:div w:id="761490230">
                                                  <w:marLeft w:val="0"/>
                                                  <w:marRight w:val="0"/>
                                                  <w:marTop w:val="0"/>
                                                  <w:marBottom w:val="0"/>
                                                  <w:divBdr>
                                                    <w:top w:val="none" w:sz="0" w:space="0" w:color="auto"/>
                                                    <w:left w:val="none" w:sz="0" w:space="0" w:color="auto"/>
                                                    <w:bottom w:val="none" w:sz="0" w:space="0" w:color="auto"/>
                                                    <w:right w:val="none" w:sz="0" w:space="0" w:color="auto"/>
                                                  </w:divBdr>
                                                  <w:divsChild>
                                                    <w:div w:id="95710871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c.cec/budg/leg/internal/leg-070_internal_en.htm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aa829f0-d04f-4eda-ba64-af7e0787648c">VVRQ4UDEYF6K-3-6440</_dlc_DocId>
    <_dlc_DocIdUrl xmlns="baa829f0-d04f-4eda-ba64-af7e0787648c">
      <Url>http://dm/COM/2017/_layouts/DocIdRedir.aspx?ID=VVRQ4UDEYF6K-3-6440</Url>
      <Description>VVRQ4UDEYF6K-3-6440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COM</TermName>
          <TermId xmlns="http://schemas.microsoft.com/office/infopath/2007/PartnerControls">3f611931-dfba-4822-950b-1b3867bf4445</TermId>
        </TermInfo>
      </Terms>
    </DocumentType_0>
    <Procedure xmlns="baa829f0-d04f-4eda-ba64-af7e0787648c">2017/0224(COD)</Procedure>
    <DocumentSource_0 xmlns="http://schemas.microsoft.com/sharepoint/v3/fields">
      <Terms xmlns="http://schemas.microsoft.com/office/infopath/2007/PartnerControls">
        <TermInfo xmlns="http://schemas.microsoft.com/office/infopath/2007/PartnerControls">
          <TermName xmlns="http://schemas.microsoft.com/office/infopath/2007/PartnerControls">COM</TermName>
          <TermId xmlns="http://schemas.microsoft.com/office/infopath/2007/PartnerControls">e0caacba-7a18-4634-b0a2-59fb194b077d</TermId>
        </TermInfo>
      </Terms>
    </DocumentSource_0>
    <ProductionDate xmlns="baa829f0-d04f-4eda-ba64-af7e0787648c">2017-10-17T12:00:00+00:00</ProductionDate>
    <DossierName_0 xmlns="http://schemas.microsoft.com/sharepoint/v3/fields">
      <Terms xmlns="http://schemas.microsoft.com/office/infopath/2007/PartnerControls"/>
    </DossierName_0>
    <DocumentNumber xmlns="90c2c950-e401-4da6-8924-1f6ed366230e">487</DocumentNumber>
    <FicheYear xmlns="baa829f0-d04f-4eda-ba64-af7e0787648c" xsi:nil="true"/>
    <DocumentVersion xmlns="baa829f0-d04f-4eda-ba64-af7e0787648c" xsi:nil="true"/>
    <DossierNumber xmlns="baa829f0-d04f-4eda-ba64-af7e0787648c"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baa829f0-d04f-4eda-ba64-af7e0787648c">
      <Value>29</Value>
      <Value>28</Value>
      <Value>27</Value>
      <Value>26</Value>
      <Value>25</Value>
      <Value>24</Value>
      <Value>23</Value>
      <Value>22</Value>
      <Value>21</Value>
      <Value>20</Value>
      <Value>19</Value>
      <Value>18</Value>
      <Value>17</Value>
      <Value>16</Value>
      <Value>15</Value>
      <Value>14</Value>
      <Value>13</Value>
      <Value>12</Value>
      <Value>11</Value>
      <Value>10</Value>
      <Value>9</Value>
      <Value>8</Value>
      <Value>7</Value>
      <Value>6</Value>
      <Value>5</Value>
      <Value>4</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s>
    </DocumentLanguage_0>
    <MeetingDate xmlns="baa829f0-d04f-4eda-ba64-af7e0787648c"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baa829f0-d04f-4eda-ba64-af7e0787648c" xsi:nil="true"/>
    <DocumentYear xmlns="baa829f0-d04f-4eda-ba64-af7e0787648c">2017</DocumentYear>
    <FicheNumber xmlns="baa829f0-d04f-4eda-ba64-af7e0787648c" xsi:nil="true"/>
    <DocumentPart xmlns="baa829f0-d04f-4eda-ba64-af7e0787648c">1</DocumentPart>
    <AdoptionDate xmlns="baa829f0-d04f-4eda-ba64-af7e0787648c" xsi:nil="true"/>
    <MeetingName_0 xmlns="http://schemas.microsoft.com/sharepoint/v3/fields">
      <Terms xmlns="http://schemas.microsoft.com/office/infopath/2007/PartnerControls"/>
    </MeetingName_0>
    <RequestingService xmlns="baa829f0-d04f-4eda-ba64-af7e0787648c" xsi:nil="true"/>
    <DocumentStatus_0 xmlns="http://schemas.microsoft.com/sharepoint/v3/fields">
      <Terms xmlns="http://schemas.microsoft.com/office/infopath/2007/PartnerControl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MeetingNumber xmlns="90c2c950-e401-4da6-8924-1f6ed366230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72441496B7C0BA4DBB0E8DAB9528C7C9" ma:contentTypeVersion="4" ma:contentTypeDescription="Defines the documents for Document Manager V2" ma:contentTypeScope="" ma:versionID="c7459cc82ca3cf252be76eeaad5ec8c3">
  <xsd:schema xmlns:xsd="http://www.w3.org/2001/XMLSchema" xmlns:xs="http://www.w3.org/2001/XMLSchema" xmlns:p="http://schemas.microsoft.com/office/2006/metadata/properties" xmlns:ns2="baa829f0-d04f-4eda-ba64-af7e0787648c" xmlns:ns3="http://schemas.microsoft.com/sharepoint/v3/fields" xmlns:ns4="90c2c950-e401-4da6-8924-1f6ed366230e" targetNamespace="http://schemas.microsoft.com/office/2006/metadata/properties" ma:root="true" ma:fieldsID="434b341cf2c380a7c7b3f2c5ad7c7e0c" ns2:_="" ns3:_="" ns4:_="">
    <xsd:import namespace="baa829f0-d04f-4eda-ba64-af7e0787648c"/>
    <xsd:import namespace="http://schemas.microsoft.com/sharepoint/v3/fields"/>
    <xsd:import namespace="90c2c950-e401-4da6-8924-1f6ed366230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829f0-d04f-4eda-ba64-af7e078764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23d93a54-e695-4f13-aa8e-0a0f262a8bc4}" ma:internalName="TaxCatchAll" ma:showField="CatchAllData" ma:web="baa829f0-d04f-4eda-ba64-af7e0787648c">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23d93a54-e695-4f13-aa8e-0a0f262a8bc4}" ma:internalName="TaxCatchAllLabel" ma:readOnly="true" ma:showField="CatchAllDataLabel" ma:web="baa829f0-d04f-4eda-ba64-af7e0787648c">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c2c950-e401-4da6-8924-1f6ed366230e"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7C06F-F0F3-4D42-B043-D146A9D052A8}">
  <ds:schemaRefs>
    <ds:schemaRef ds:uri="http://schemas.microsoft.com/sharepoint/events"/>
  </ds:schemaRefs>
</ds:datastoreItem>
</file>

<file path=customXml/itemProps2.xml><?xml version="1.0" encoding="utf-8"?>
<ds:datastoreItem xmlns:ds="http://schemas.openxmlformats.org/officeDocument/2006/customXml" ds:itemID="{386C72E5-A141-48C7-81E2-B5758BC54859}">
  <ds:schemaRefs>
    <ds:schemaRef ds:uri="http://schemas.microsoft.com/sharepoint/v3/contenttype/forms"/>
  </ds:schemaRefs>
</ds:datastoreItem>
</file>

<file path=customXml/itemProps3.xml><?xml version="1.0" encoding="utf-8"?>
<ds:datastoreItem xmlns:ds="http://schemas.openxmlformats.org/officeDocument/2006/customXml" ds:itemID="{59B31A0D-3C15-4843-9E3F-141DC6CAE4E1}">
  <ds:schemaRefs>
    <ds:schemaRef ds:uri="http://schemas.microsoft.com/office/2006/metadata/properties"/>
    <ds:schemaRef ds:uri="http://schemas.microsoft.com/office/infopath/2007/PartnerControls"/>
    <ds:schemaRef ds:uri="baa829f0-d04f-4eda-ba64-af7e0787648c"/>
    <ds:schemaRef ds:uri="http://schemas.microsoft.com/sharepoint/v3/fields"/>
    <ds:schemaRef ds:uri="90c2c950-e401-4da6-8924-1f6ed366230e"/>
  </ds:schemaRefs>
</ds:datastoreItem>
</file>

<file path=customXml/itemProps4.xml><?xml version="1.0" encoding="utf-8"?>
<ds:datastoreItem xmlns:ds="http://schemas.openxmlformats.org/officeDocument/2006/customXml" ds:itemID="{0A2B4D24-F395-4888-BD85-BFA79FDC9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829f0-d04f-4eda-ba64-af7e0787648c"/>
    <ds:schemaRef ds:uri="http://schemas.microsoft.com/sharepoint/v3/fields"/>
    <ds:schemaRef ds:uri="90c2c950-e401-4da6-8924-1f6ed36623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E94B2F-4468-4F10-AF39-3FDF86C08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1</TotalTime>
  <Pages>47</Pages>
  <Words>14724</Words>
  <Characters>83932</Characters>
  <Application>Microsoft Office Word</Application>
  <DocSecurity>0</DocSecurity>
  <Lines>699</Lines>
  <Paragraphs>196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Návrh NARIADENIE EURÓPSKEHO PARLAMENTU A RADY, ktorým sa stanovuje rámec na preverovanie priamych zahraničných investícií do Európskej únie </vt:lpstr>
      <vt:lpstr/>
    </vt:vector>
  </TitlesOfParts>
  <Manager/>
  <Company/>
  <LinksUpToDate>false</LinksUpToDate>
  <CharactersWithSpaces>98460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NARIADENIE EURÓPSKEHO PARLAMENTU A RADY, ktorým sa stanovuje rámec na preverovanie priamych zahraničných investícií do Európskej únie</dc:title>
  <dc:creator>Belová</dc:creator>
  <cp:lastModifiedBy>Belová</cp:lastModifiedBy>
  <cp:revision>2</cp:revision>
  <cp:lastPrinted>2017-09-05T14:25:00Z</cp:lastPrinted>
  <dcterms:created xsi:type="dcterms:W3CDTF">2018-03-22T14:24:00Z</dcterms:created>
  <dcterms:modified xsi:type="dcterms:W3CDTF">2018-03-22T14:24:00Z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Green (DQC version 03)</vt:lpwstr>
  </property>
  <property fmtid="{D5CDD505-2E9C-101B-9397-08002B2CF9AE}" pid="11" name="ContentTypeId">
    <vt:lpwstr>0x010100EA97B91038054C99906057A708A1480A0072441496B7C0BA4DBB0E8DAB9528C7C9</vt:lpwstr>
  </property>
  <property fmtid="{D5CDD505-2E9C-101B-9397-08002B2CF9AE}" pid="12" name="_dlc_DocIdItemGuid">
    <vt:lpwstr>02557cb9-8196-405a-8519-c226b03d2dc7</vt:lpwstr>
  </property>
  <property fmtid="{D5CDD505-2E9C-101B-9397-08002B2CF9AE}" pid="13" name="DocumentType_0">
    <vt:lpwstr>COM|3f611931-dfba-4822-950b-1b3867bf4445</vt:lpwstr>
  </property>
  <property fmtid="{D5CDD505-2E9C-101B-9397-08002B2CF9AE}" pid="14" name="Procedure">
    <vt:lpwstr>2017/0224(COD)</vt:lpwstr>
  </property>
  <property fmtid="{D5CDD505-2E9C-101B-9397-08002B2CF9AE}" pid="15" name="AvailableTranslations">
    <vt:lpwstr>12;#NL|55c6556c-b4f4-441d-9acf-c498d4f838bd;#15;#FR|d2afafd3-4c81-4f60-8f52-ee33f2f54ff3;#3;#EN|f2175f21-25d7-44a3-96da-d6a61b075e1b;#23;#ET|ff6c3f4c-b02c-4c3c-ab07-2c37995a7a0a;#24;#LV|46f7e311-5d9f-4663-b433-18aeccb7ace7;#29;#SL|98a412ae-eb01-49e9-ae3d-</vt:lpwstr>
  </property>
  <property fmtid="{D5CDD505-2E9C-101B-9397-08002B2CF9AE}" pid="16" name="DocumentSource_0">
    <vt:lpwstr>COM|e0caacba-7a18-4634-b0a2-59fb194b077d</vt:lpwstr>
  </property>
  <property fmtid="{D5CDD505-2E9C-101B-9397-08002B2CF9AE}" pid="17" name="ProductionDate">
    <vt:filetime>2017-10-17T12:00:00Z</vt:filetime>
  </property>
  <property fmtid="{D5CDD505-2E9C-101B-9397-08002B2CF9AE}" pid="18" name="DossierName_0">
    <vt:lpwstr/>
  </property>
  <property fmtid="{D5CDD505-2E9C-101B-9397-08002B2CF9AE}" pid="19" name="DocumentNumber">
    <vt:i4>487</vt:i4>
  </property>
  <property fmtid="{D5CDD505-2E9C-101B-9397-08002B2CF9AE}" pid="20" name="DocumentStatus">
    <vt:lpwstr/>
  </property>
  <property fmtid="{D5CDD505-2E9C-101B-9397-08002B2CF9AE}" pid="21" name="DossierName">
    <vt:lpwstr/>
  </property>
  <property fmtid="{D5CDD505-2E9C-101B-9397-08002B2CF9AE}" pid="22" name="Confidentiality">
    <vt:lpwstr>4;#Unrestricted|826e22d7-d029-4ec0-a450-0c28ff673572</vt:lpwstr>
  </property>
  <property fmtid="{D5CDD505-2E9C-101B-9397-08002B2CF9AE}" pid="23" name="Confidentiality_0">
    <vt:lpwstr>Unrestricted|826e22d7-d029-4ec0-a450-0c28ff673572</vt:lpwstr>
  </property>
  <property fmtid="{D5CDD505-2E9C-101B-9397-08002B2CF9AE}" pid="24" name="OriginalLanguage">
    <vt:lpwstr>3;#EN|f2175f21-25d7-44a3-96da-d6a61b075e1b</vt:lpwstr>
  </property>
  <property fmtid="{D5CDD505-2E9C-101B-9397-08002B2CF9AE}" pid="25" name="MeetingName">
    <vt:lpwstr/>
  </property>
  <property fmtid="{D5CDD505-2E9C-101B-9397-08002B2CF9AE}" pid="26" name="TaxCatchAll">
    <vt:lpwstr>29;#SL|98a412ae-eb01-49e9-ae3d-585a81724cfc;#28;#SK|46d9fce0-ef79-4f71-b89b-cd6aa82426b8;#27;#MT|7df99101-6854-4a26-b53a-b88c0da02c26;#26;#PL|1e03da61-4678-4e07-b136-b5024ca9197b;#25;#LT|a7ff5ce7-6123-4f68-865a-a57c31810414;#24;#LV|46f7e311-5d9f-4663-b433</vt:lpwstr>
  </property>
  <property fmtid="{D5CDD505-2E9C-101B-9397-08002B2CF9AE}" pid="27" name="DocumentLanguage_0">
    <vt:lpwstr>SK|46d9fce0-ef79-4f71-b89b-cd6aa82426b8</vt:lpwstr>
  </property>
  <property fmtid="{D5CDD505-2E9C-101B-9397-08002B2CF9AE}" pid="28" name="VersionStatus">
    <vt:lpwstr>5;#Final|ea5e6674-7b27-4bac-b091-73adbb394efe</vt:lpwstr>
  </property>
  <property fmtid="{D5CDD505-2E9C-101B-9397-08002B2CF9AE}" pid="29" name="VersionStatus_0">
    <vt:lpwstr>Final|ea5e6674-7b27-4bac-b091-73adbb394efe</vt:lpwstr>
  </property>
  <property fmtid="{D5CDD505-2E9C-101B-9397-08002B2CF9AE}" pid="30" name="DocumentYear">
    <vt:i4>2017</vt:i4>
  </property>
  <property fmtid="{D5CDD505-2E9C-101B-9397-08002B2CF9AE}" pid="31" name="DocumentSource">
    <vt:lpwstr>1;#COM|e0caacba-7a18-4634-b0a2-59fb194b077d</vt:lpwstr>
  </property>
  <property fmtid="{D5CDD505-2E9C-101B-9397-08002B2CF9AE}" pid="32" name="DocumentType">
    <vt:lpwstr>6;#COM|3f611931-dfba-4822-950b-1b3867bf4445</vt:lpwstr>
  </property>
  <property fmtid="{D5CDD505-2E9C-101B-9397-08002B2CF9AE}" pid="33" name="DocumentPart">
    <vt:i4>1</vt:i4>
  </property>
  <property fmtid="{D5CDD505-2E9C-101B-9397-08002B2CF9AE}" pid="34" name="MeetingName_0">
    <vt:lpwstr/>
  </property>
  <property fmtid="{D5CDD505-2E9C-101B-9397-08002B2CF9AE}" pid="35" name="DocumentLanguage">
    <vt:lpwstr>28;#SK|46d9fce0-ef79-4f71-b89b-cd6aa82426b8</vt:lpwstr>
  </property>
  <property fmtid="{D5CDD505-2E9C-101B-9397-08002B2CF9AE}" pid="36" name="DocumentStatus_0">
    <vt:lpwstr/>
  </property>
  <property fmtid="{D5CDD505-2E9C-101B-9397-08002B2CF9AE}" pid="37" name="OriginalLanguage_0">
    <vt:lpwstr>EN|f2175f21-25d7-44a3-96da-d6a61b075e1b</vt:lpwstr>
  </property>
  <property fmtid="{D5CDD505-2E9C-101B-9397-08002B2CF9AE}" pid="38" name="AvailableTranslations_0">
    <vt:lpwstr>NL|55c6556c-b4f4-441d-9acf-c498d4f838bd;FR|d2afafd3-4c81-4f60-8f52-ee33f2f54ff3;EN|f2175f21-25d7-44a3-96da-d6a61b075e1b;ET|ff6c3f4c-b02c-4c3c-ab07-2c37995a7a0a;LV|46f7e311-5d9f-4663-b433-18aeccb7ace7;SL|98a412ae-eb01-49e9-ae3d-585a81724cfc;GA|762d2456-c42</vt:lpwstr>
  </property>
</Properties>
</file>