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58B7" w14:textId="77777777" w:rsidR="00D40CCB" w:rsidRPr="00064F37" w:rsidRDefault="00000000">
      <w:pPr>
        <w:pStyle w:val="Nzov"/>
        <w:jc w:val="center"/>
        <w:rPr>
          <w:color w:val="000000" w:themeColor="text1"/>
        </w:rPr>
      </w:pPr>
      <w:r w:rsidRPr="00064F37">
        <w:rPr>
          <w:rFonts w:ascii="Calibri" w:hAnsi="Calibri"/>
          <w:b/>
          <w:color w:val="000000" w:themeColor="text1"/>
          <w:sz w:val="36"/>
        </w:rPr>
        <w:t>Nadväzujúce formy odborného vzdelávania a prípravy v systéme duálneho vzdelávania</w:t>
      </w:r>
    </w:p>
    <w:p w14:paraId="238856F9" w14:textId="77777777" w:rsidR="00D40CCB" w:rsidRPr="00064F37" w:rsidRDefault="00000000">
      <w:pPr>
        <w:spacing w:after="280"/>
        <w:jc w:val="center"/>
        <w:rPr>
          <w:color w:val="000000" w:themeColor="text1"/>
        </w:rPr>
      </w:pPr>
      <w:r w:rsidRPr="00064F37">
        <w:rPr>
          <w:rFonts w:ascii="Calibri" w:hAnsi="Calibri"/>
          <w:b/>
          <w:color w:val="000000" w:themeColor="text1"/>
          <w:sz w:val="26"/>
        </w:rPr>
        <w:t>Duálne vzdelávanie 18+ alebo vzdelávanie pre dospelých</w:t>
      </w:r>
    </w:p>
    <w:p w14:paraId="407D56EA" w14:textId="77777777" w:rsidR="00D40CCB" w:rsidRPr="00064F37" w:rsidRDefault="00000000">
      <w:pPr>
        <w:spacing w:after="160"/>
        <w:rPr>
          <w:color w:val="000000" w:themeColor="text1"/>
        </w:rPr>
      </w:pPr>
      <w:r w:rsidRPr="00064F37">
        <w:rPr>
          <w:rFonts w:ascii="Calibri" w:hAnsi="Calibri"/>
          <w:color w:val="000000" w:themeColor="text1"/>
        </w:rPr>
        <w:t>Systém duálneho vzdelávania možno využiť aj pri nadväzujúcich formách odborného vzdelávania a prípravy, ktoré upravuje § 45 zákona č. 245/2008 Z. z. o výchove a vzdelávaní (školský zákon). Na rozdiel od duálneho vzdelávania, do ktorého vstupujú absolventi základnej školy spravidla vo veku 15 až 16 rokov, do nadväzujúceho štúdia vstupujú absolventi predchádzajúceho štúdia vo veku 18 rokov a viac. Preto sa toto štúdium v systéme duálneho vzdelávania zjednodušene označuje aj ako Duálne vzdelávanie 18+ alebo ako duálne vzdelávanie pre dospelých.</w:t>
      </w:r>
    </w:p>
    <w:p w14:paraId="237C1B49" w14:textId="77777777" w:rsidR="00D40CCB" w:rsidRPr="00064F37" w:rsidRDefault="00000000">
      <w:pPr>
        <w:spacing w:after="160"/>
        <w:rPr>
          <w:color w:val="000000" w:themeColor="text1"/>
        </w:rPr>
      </w:pPr>
      <w:r w:rsidRPr="00064F37">
        <w:rPr>
          <w:rFonts w:ascii="Calibri" w:hAnsi="Calibri"/>
          <w:color w:val="000000" w:themeColor="text1"/>
        </w:rPr>
        <w:t>Duálne vzdelávanie pre dospelých nadväzuje aj na program Európskej únie v oblasti zručností prijatý v roku 2020, ktorý podporuje rozvoj zručností počas celého života. Vzdelávanie pre dospelých môže jednotlivcovi umožniť pokrok v kariére a zvládnutie zmeny pracovného miesta. Vychádza z európskeho piliera sociálnych práv a z európskeho ekologického dohovoru.</w:t>
      </w:r>
    </w:p>
    <w:p w14:paraId="6B2F95E9" w14:textId="77777777" w:rsidR="00D40CCB" w:rsidRPr="00064F37" w:rsidRDefault="00000000">
      <w:pPr>
        <w:spacing w:after="160"/>
        <w:rPr>
          <w:color w:val="000000" w:themeColor="text1"/>
        </w:rPr>
      </w:pPr>
      <w:r w:rsidRPr="00064F37">
        <w:rPr>
          <w:rFonts w:ascii="Calibri" w:hAnsi="Calibri"/>
          <w:color w:val="000000" w:themeColor="text1"/>
        </w:rPr>
        <w:t>Na rozdiel od tínedžerov, ktorí začínajú svoju vzdelávaciu cestu za kvalifikáciou približne v rovnakom veku a s podobnými skúsenosťami, dospelí vstupujúci do vzdelávania sa často líšia z hľadiska veku, skúseností, životnej situácie a očakávaní. Mnohí dospelí majú predchádzajúce skúsenosti s učením sa a s prácou. Niektorí sa môžu zdráhať vrátiť sa do školy alebo prijímať pokyny od osoby mladšej, než sú oni sami. Mnoho dospelých má záväzky v súkromnom živote, napríklad rodinu alebo úvery, no všetci musia chápať hodnotu kvalifikácie, ktorú im vzdelávacia cesta ponúkne na trhu práce.</w:t>
      </w:r>
    </w:p>
    <w:p w14:paraId="1B96F60C" w14:textId="77777777" w:rsidR="00D40CCB" w:rsidRPr="00064F37" w:rsidRDefault="00000000">
      <w:pPr>
        <w:spacing w:after="160"/>
        <w:rPr>
          <w:color w:val="000000" w:themeColor="text1"/>
        </w:rPr>
      </w:pPr>
      <w:r w:rsidRPr="00064F37">
        <w:rPr>
          <w:rFonts w:ascii="Calibri" w:hAnsi="Calibri"/>
          <w:color w:val="000000" w:themeColor="text1"/>
        </w:rPr>
        <w:t>Preto sa vzdelávanie pre dospelých viac orientuje na podporu účasti dospelých na vzdelávaní, a to aj v prepojení so zamestnávateľmi v systéme duálneho vzdelávania.</w:t>
      </w:r>
    </w:p>
    <w:p w14:paraId="0969DB24" w14:textId="77777777" w:rsidR="00D40CCB" w:rsidRPr="00064F37" w:rsidRDefault="00000000">
      <w:pPr>
        <w:spacing w:after="160"/>
        <w:rPr>
          <w:color w:val="000000" w:themeColor="text1"/>
        </w:rPr>
      </w:pPr>
      <w:r w:rsidRPr="00064F37">
        <w:rPr>
          <w:rFonts w:ascii="Calibri" w:hAnsi="Calibri"/>
          <w:color w:val="000000" w:themeColor="text1"/>
        </w:rPr>
        <w:t>Duálne vzdelávanie 18+ je vhodné aj pre zamestnávateľov poskytujúcich praktické vyučovanie pri povolaniach so zvýšeným rizikom poškodenia zdravia, ktoré nie sú vhodné pre neplnoletých žiakov.</w:t>
      </w:r>
    </w:p>
    <w:p w14:paraId="3D08B112" w14:textId="77777777" w:rsidR="00D40CCB" w:rsidRPr="00064F37" w:rsidRDefault="00000000">
      <w:pPr>
        <w:spacing w:after="160"/>
        <w:rPr>
          <w:color w:val="000000" w:themeColor="text1"/>
        </w:rPr>
      </w:pPr>
      <w:r w:rsidRPr="00064F37">
        <w:rPr>
          <w:rFonts w:ascii="Calibri" w:hAnsi="Calibri"/>
          <w:color w:val="000000" w:themeColor="text1"/>
        </w:rPr>
        <w:t>Duálne vzdelávanie 18+ poskytuje zamestnávateľovi zrýchlenú cestu k získaniu kvalifikovanej pracovnej sily. Konkrétnu dĺžku štúdia určuje príslušný vzdelávací program a forma štúdia. Skrátené štúdium je možné len v dobiehajúcom režime pre účastníkov, ktorí ho začali podľa predpisov účinných do 31. decembra 2025.</w:t>
      </w:r>
    </w:p>
    <w:p w14:paraId="117DD3D6" w14:textId="77777777" w:rsidR="00D40CCB" w:rsidRPr="00064F37" w:rsidRDefault="00000000">
      <w:pPr>
        <w:spacing w:after="160"/>
        <w:rPr>
          <w:color w:val="000000" w:themeColor="text1"/>
        </w:rPr>
      </w:pPr>
      <w:r w:rsidRPr="00064F37">
        <w:rPr>
          <w:rFonts w:ascii="Calibri" w:hAnsi="Calibri"/>
          <w:color w:val="000000" w:themeColor="text1"/>
        </w:rPr>
        <w:t>Duálne vzdelávanie 18+ s cieľom získať kvalifikáciu sa uskutočňuje podľa vzdelávacích programov, ktoré obsahujú odborné vyučovacie predmety teoretického vyučovania a praktické vyučovanie vo forme odborného výcviku alebo odbornej praxe.</w:t>
      </w:r>
    </w:p>
    <w:p w14:paraId="2334797B" w14:textId="77777777" w:rsidR="00D40CCB" w:rsidRPr="00064F37" w:rsidRDefault="00000000">
      <w:pPr>
        <w:spacing w:after="160"/>
        <w:rPr>
          <w:color w:val="000000" w:themeColor="text1"/>
        </w:rPr>
      </w:pPr>
      <w:r w:rsidRPr="00064F37">
        <w:rPr>
          <w:rFonts w:ascii="Calibri" w:hAnsi="Calibri"/>
          <w:color w:val="000000" w:themeColor="text1"/>
        </w:rPr>
        <w:t>Účastník vzdelávania pre dospelých má nárok na benefity a podporu v systéme duálneho vzdelávania v rozsahu, ktorý ustanovujú právne predpisy pre žiakov v systéme duálneho vzdelávania.</w:t>
      </w:r>
    </w:p>
    <w:p w14:paraId="2F253B20" w14:textId="77777777" w:rsidR="00D40CCB" w:rsidRPr="00064F37" w:rsidRDefault="00000000">
      <w:pPr>
        <w:spacing w:after="160"/>
        <w:rPr>
          <w:color w:val="000000" w:themeColor="text1"/>
        </w:rPr>
      </w:pPr>
      <w:r w:rsidRPr="00064F37">
        <w:rPr>
          <w:rFonts w:ascii="Calibri" w:hAnsi="Calibri"/>
          <w:color w:val="000000" w:themeColor="text1"/>
        </w:rPr>
        <w:t>Zamestnávateľ má pri duálnom vzdelávaní nárok na príspevky a daňové zvýhodnenia v rozsahu, ktorý ustanovujú osobitné predpisy. Vzdelávanie dospelých v systéme duálneho vzdelávania môže byť pre zamestnávateľa efektívnou alternatívou prípravy kvalifikovanej pracovnej sily v porovnaní s interným podnikovým zaškolením nového zamestnanca.</w:t>
      </w:r>
    </w:p>
    <w:p w14:paraId="425A137D" w14:textId="77777777" w:rsidR="00D40CCB" w:rsidRPr="00064F37" w:rsidRDefault="00000000">
      <w:pPr>
        <w:pStyle w:val="Nadpis1"/>
        <w:rPr>
          <w:color w:val="000000" w:themeColor="text1"/>
        </w:rPr>
      </w:pPr>
      <w:r w:rsidRPr="00064F37">
        <w:rPr>
          <w:rFonts w:ascii="Calibri" w:hAnsi="Calibri"/>
          <w:color w:val="000000" w:themeColor="text1"/>
          <w:sz w:val="26"/>
        </w:rPr>
        <w:lastRenderedPageBreak/>
        <w:t>Prehľad nadväzujúcich foriem OVP vhodných pre duálne vzdelávanie 18+</w:t>
      </w:r>
    </w:p>
    <w:tbl>
      <w:tblPr>
        <w:tblStyle w:val="Mriekatabuky"/>
        <w:tblW w:w="0" w:type="auto"/>
        <w:jc w:val="center"/>
        <w:tblLook w:val="04A0" w:firstRow="1" w:lastRow="0" w:firstColumn="1" w:lastColumn="0" w:noHBand="0" w:noVBand="1"/>
      </w:tblPr>
      <w:tblGrid>
        <w:gridCol w:w="1418"/>
        <w:gridCol w:w="1380"/>
        <w:gridCol w:w="1381"/>
        <w:gridCol w:w="1572"/>
        <w:gridCol w:w="1659"/>
        <w:gridCol w:w="1404"/>
        <w:gridCol w:w="1374"/>
      </w:tblGrid>
      <w:tr w:rsidR="00064F37" w:rsidRPr="00064F37" w14:paraId="7A3E3742" w14:textId="77777777" w:rsidTr="00064F37">
        <w:trPr>
          <w:jc w:val="center"/>
        </w:trPr>
        <w:tc>
          <w:tcPr>
            <w:tcW w:w="1418" w:type="dxa"/>
            <w:shd w:val="clear" w:color="auto" w:fill="D9D9D9"/>
            <w:vAlign w:val="center"/>
          </w:tcPr>
          <w:p w14:paraId="14AA8C96" w14:textId="77777777" w:rsidR="00D40CCB" w:rsidRPr="00064F37" w:rsidRDefault="00000000">
            <w:pPr>
              <w:jc w:val="center"/>
              <w:rPr>
                <w:color w:val="000000" w:themeColor="text1"/>
              </w:rPr>
            </w:pPr>
            <w:r w:rsidRPr="00064F37">
              <w:rPr>
                <w:rFonts w:ascii="Calibri" w:hAnsi="Calibri"/>
                <w:b/>
                <w:color w:val="000000" w:themeColor="text1"/>
                <w:sz w:val="21"/>
              </w:rPr>
              <w:t>Nadväzujúca forma OVP</w:t>
            </w:r>
          </w:p>
        </w:tc>
        <w:tc>
          <w:tcPr>
            <w:tcW w:w="1380" w:type="dxa"/>
            <w:shd w:val="clear" w:color="auto" w:fill="D9D9D9"/>
            <w:vAlign w:val="center"/>
          </w:tcPr>
          <w:p w14:paraId="6DE018BA" w14:textId="77777777" w:rsidR="00D40CCB" w:rsidRPr="00064F37" w:rsidRDefault="00000000">
            <w:pPr>
              <w:jc w:val="center"/>
              <w:rPr>
                <w:color w:val="000000" w:themeColor="text1"/>
              </w:rPr>
            </w:pPr>
            <w:r w:rsidRPr="00064F37">
              <w:rPr>
                <w:rFonts w:ascii="Calibri" w:hAnsi="Calibri"/>
                <w:b/>
                <w:color w:val="000000" w:themeColor="text1"/>
                <w:sz w:val="21"/>
              </w:rPr>
              <w:t>Dĺžka štúdia</w:t>
            </w:r>
          </w:p>
        </w:tc>
        <w:tc>
          <w:tcPr>
            <w:tcW w:w="1381" w:type="dxa"/>
            <w:shd w:val="clear" w:color="auto" w:fill="D9D9D9"/>
            <w:vAlign w:val="center"/>
          </w:tcPr>
          <w:p w14:paraId="4921874A" w14:textId="77777777" w:rsidR="00D40CCB" w:rsidRPr="00064F37" w:rsidRDefault="00000000">
            <w:pPr>
              <w:jc w:val="center"/>
              <w:rPr>
                <w:color w:val="000000" w:themeColor="text1"/>
              </w:rPr>
            </w:pPr>
            <w:r w:rsidRPr="00064F37">
              <w:rPr>
                <w:rFonts w:ascii="Calibri" w:hAnsi="Calibri"/>
                <w:b/>
                <w:color w:val="000000" w:themeColor="text1"/>
                <w:sz w:val="21"/>
              </w:rPr>
              <w:t>Určené pre absolventov</w:t>
            </w:r>
          </w:p>
        </w:tc>
        <w:tc>
          <w:tcPr>
            <w:tcW w:w="1572" w:type="dxa"/>
            <w:shd w:val="clear" w:color="auto" w:fill="D9D9D9"/>
            <w:vAlign w:val="center"/>
          </w:tcPr>
          <w:p w14:paraId="264FF521" w14:textId="77777777" w:rsidR="00D40CCB" w:rsidRPr="00064F37" w:rsidRDefault="00000000">
            <w:pPr>
              <w:jc w:val="center"/>
              <w:rPr>
                <w:color w:val="000000" w:themeColor="text1"/>
              </w:rPr>
            </w:pPr>
            <w:r w:rsidRPr="00064F37">
              <w:rPr>
                <w:rFonts w:ascii="Calibri" w:hAnsi="Calibri"/>
                <w:b/>
                <w:color w:val="000000" w:themeColor="text1"/>
                <w:sz w:val="21"/>
              </w:rPr>
              <w:t>Odbory vzdelávania</w:t>
            </w:r>
          </w:p>
        </w:tc>
        <w:tc>
          <w:tcPr>
            <w:tcW w:w="1659" w:type="dxa"/>
            <w:shd w:val="clear" w:color="auto" w:fill="D9D9D9"/>
            <w:vAlign w:val="center"/>
          </w:tcPr>
          <w:p w14:paraId="647BC542" w14:textId="77777777" w:rsidR="00D40CCB" w:rsidRPr="00064F37" w:rsidRDefault="00000000">
            <w:pPr>
              <w:jc w:val="center"/>
              <w:rPr>
                <w:color w:val="000000" w:themeColor="text1"/>
              </w:rPr>
            </w:pPr>
            <w:r w:rsidRPr="00064F37">
              <w:rPr>
                <w:rFonts w:ascii="Calibri" w:hAnsi="Calibri"/>
                <w:b/>
                <w:color w:val="000000" w:themeColor="text1"/>
                <w:sz w:val="21"/>
              </w:rPr>
              <w:t>Odporúčaný podiel praktického vyučovania (PV)</w:t>
            </w:r>
          </w:p>
        </w:tc>
        <w:tc>
          <w:tcPr>
            <w:tcW w:w="1404" w:type="dxa"/>
            <w:shd w:val="clear" w:color="auto" w:fill="D9D9D9"/>
            <w:vAlign w:val="center"/>
          </w:tcPr>
          <w:p w14:paraId="7B4B5FBF" w14:textId="77777777" w:rsidR="00D40CCB" w:rsidRPr="00064F37" w:rsidRDefault="00000000">
            <w:pPr>
              <w:jc w:val="center"/>
              <w:rPr>
                <w:color w:val="000000" w:themeColor="text1"/>
              </w:rPr>
            </w:pPr>
            <w:r w:rsidRPr="00064F37">
              <w:rPr>
                <w:rFonts w:ascii="Calibri" w:hAnsi="Calibri"/>
                <w:b/>
                <w:color w:val="000000" w:themeColor="text1"/>
                <w:sz w:val="21"/>
              </w:rPr>
              <w:t>Doklad o ukončení vzdelávania</w:t>
            </w:r>
          </w:p>
        </w:tc>
        <w:tc>
          <w:tcPr>
            <w:tcW w:w="1374" w:type="dxa"/>
            <w:shd w:val="clear" w:color="auto" w:fill="D9D9D9"/>
            <w:vAlign w:val="center"/>
          </w:tcPr>
          <w:p w14:paraId="15A51C5F" w14:textId="77777777" w:rsidR="00D40CCB" w:rsidRPr="00064F37" w:rsidRDefault="00000000">
            <w:pPr>
              <w:jc w:val="center"/>
              <w:rPr>
                <w:color w:val="000000" w:themeColor="text1"/>
              </w:rPr>
            </w:pPr>
            <w:r w:rsidRPr="00064F37">
              <w:rPr>
                <w:rFonts w:ascii="Calibri" w:hAnsi="Calibri"/>
                <w:b/>
                <w:color w:val="000000" w:themeColor="text1"/>
                <w:sz w:val="21"/>
              </w:rPr>
              <w:t>Doklad o kvalifikácii</w:t>
            </w:r>
          </w:p>
        </w:tc>
      </w:tr>
      <w:tr w:rsidR="00064F37" w:rsidRPr="00064F37" w14:paraId="2EED1542" w14:textId="77777777" w:rsidTr="00064F37">
        <w:trPr>
          <w:jc w:val="center"/>
        </w:trPr>
        <w:tc>
          <w:tcPr>
            <w:tcW w:w="1418" w:type="dxa"/>
          </w:tcPr>
          <w:p w14:paraId="3FDADB82"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Nadstavbové štúdium</w:t>
            </w:r>
          </w:p>
        </w:tc>
        <w:tc>
          <w:tcPr>
            <w:tcW w:w="1380" w:type="dxa"/>
          </w:tcPr>
          <w:p w14:paraId="4A23DFDF"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vzdelávacieho programu</w:t>
            </w:r>
          </w:p>
        </w:tc>
        <w:tc>
          <w:tcPr>
            <w:tcW w:w="1381" w:type="dxa"/>
          </w:tcPr>
          <w:p w14:paraId="5D503917"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Stredné odborné vzdelanie ukončené výučným listom</w:t>
            </w:r>
          </w:p>
        </w:tc>
        <w:tc>
          <w:tcPr>
            <w:tcW w:w="1572" w:type="dxa"/>
          </w:tcPr>
          <w:p w14:paraId="69AB0158"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Odbory nadstavbového štúdia podľa vyhlášky o sústave odborov vzdelávania</w:t>
            </w:r>
          </w:p>
        </w:tc>
        <w:tc>
          <w:tcPr>
            <w:tcW w:w="1659" w:type="dxa"/>
          </w:tcPr>
          <w:p w14:paraId="605F6C93"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požiadavky zamestnávateľov a vzdelávacieho programu</w:t>
            </w:r>
          </w:p>
        </w:tc>
        <w:tc>
          <w:tcPr>
            <w:tcW w:w="1404" w:type="dxa"/>
          </w:tcPr>
          <w:p w14:paraId="47D53AEA"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maturitnej skúške</w:t>
            </w:r>
          </w:p>
        </w:tc>
        <w:tc>
          <w:tcPr>
            <w:tcW w:w="1374" w:type="dxa"/>
          </w:tcPr>
          <w:p w14:paraId="5A41F1FB"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maturitnej skúške</w:t>
            </w:r>
          </w:p>
        </w:tc>
      </w:tr>
      <w:tr w:rsidR="00064F37" w:rsidRPr="00064F37" w14:paraId="735821E6" w14:textId="77777777" w:rsidTr="00064F37">
        <w:trPr>
          <w:jc w:val="center"/>
        </w:trPr>
        <w:tc>
          <w:tcPr>
            <w:tcW w:w="1418" w:type="dxa"/>
          </w:tcPr>
          <w:p w14:paraId="58554E1B"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Pomaturitné kvalifikačné štúdium</w:t>
            </w:r>
          </w:p>
        </w:tc>
        <w:tc>
          <w:tcPr>
            <w:tcW w:w="1380" w:type="dxa"/>
          </w:tcPr>
          <w:p w14:paraId="5BA24670"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vzdelávacieho programu</w:t>
            </w:r>
          </w:p>
        </w:tc>
        <w:tc>
          <w:tcPr>
            <w:tcW w:w="1381" w:type="dxa"/>
          </w:tcPr>
          <w:p w14:paraId="7B750E5A"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Úplné stredné odborné alebo úplné stredné všeobecné vzdelanie, maturita</w:t>
            </w:r>
          </w:p>
        </w:tc>
        <w:tc>
          <w:tcPr>
            <w:tcW w:w="1572" w:type="dxa"/>
          </w:tcPr>
          <w:p w14:paraId="54B48077"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Študijné odbory, pri ktorých vyhláška umožňuje kvalifikačné štúdium, v zozname odborov je uvedená poznámka</w:t>
            </w:r>
          </w:p>
        </w:tc>
        <w:tc>
          <w:tcPr>
            <w:tcW w:w="1659" w:type="dxa"/>
          </w:tcPr>
          <w:p w14:paraId="2BB1331E"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požiadavky zamestnávateľov a vzdelávacieho programu, odporúčanie najmenej 50 percent hodín praktického vyučovania</w:t>
            </w:r>
          </w:p>
        </w:tc>
        <w:tc>
          <w:tcPr>
            <w:tcW w:w="1404" w:type="dxa"/>
          </w:tcPr>
          <w:p w14:paraId="4802D03A"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maturitnej skúške, vykonáva sa odborná zložka maturitnej skúšky</w:t>
            </w:r>
          </w:p>
        </w:tc>
        <w:tc>
          <w:tcPr>
            <w:tcW w:w="1374" w:type="dxa"/>
          </w:tcPr>
          <w:p w14:paraId="2EFB221B"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maturitnej skúške, pri odboroch s odborným výcvikom sa môže vydávať aj výučný list</w:t>
            </w:r>
          </w:p>
        </w:tc>
      </w:tr>
      <w:tr w:rsidR="00064F37" w:rsidRPr="00064F37" w14:paraId="5BF93E3D" w14:textId="77777777" w:rsidTr="00064F37">
        <w:trPr>
          <w:jc w:val="center"/>
        </w:trPr>
        <w:tc>
          <w:tcPr>
            <w:tcW w:w="1418" w:type="dxa"/>
          </w:tcPr>
          <w:p w14:paraId="17196852"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Pomaturitné špecializačné štúdium</w:t>
            </w:r>
          </w:p>
        </w:tc>
        <w:tc>
          <w:tcPr>
            <w:tcW w:w="1380" w:type="dxa"/>
          </w:tcPr>
          <w:p w14:paraId="44C3DDB1"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vzdelávacieho programu</w:t>
            </w:r>
          </w:p>
        </w:tc>
        <w:tc>
          <w:tcPr>
            <w:tcW w:w="1381" w:type="dxa"/>
          </w:tcPr>
          <w:p w14:paraId="291CA937"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Úplné stredné odborné alebo úplné stredné všeobecné vzdelanie, maturita</w:t>
            </w:r>
          </w:p>
        </w:tc>
        <w:tc>
          <w:tcPr>
            <w:tcW w:w="1572" w:type="dxa"/>
          </w:tcPr>
          <w:p w14:paraId="4B947B9F"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Vzdelávacie programy špecializačného štúdia zamerané na prehĺbenie kvalifikácie v príbuznej oblasti</w:t>
            </w:r>
          </w:p>
        </w:tc>
        <w:tc>
          <w:tcPr>
            <w:tcW w:w="1659" w:type="dxa"/>
          </w:tcPr>
          <w:p w14:paraId="1A575808"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požiadavky zamestnávateľov a vzdelávacieho programu</w:t>
            </w:r>
          </w:p>
        </w:tc>
        <w:tc>
          <w:tcPr>
            <w:tcW w:w="1404" w:type="dxa"/>
          </w:tcPr>
          <w:p w14:paraId="23D8F982"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absolventskej skúške</w:t>
            </w:r>
          </w:p>
        </w:tc>
        <w:tc>
          <w:tcPr>
            <w:tcW w:w="1374" w:type="dxa"/>
          </w:tcPr>
          <w:p w14:paraId="55E8B875"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 xml:space="preserve">Absolventský diplom, s právom používať titul </w:t>
            </w:r>
            <w:proofErr w:type="spellStart"/>
            <w:r w:rsidRPr="00064F37">
              <w:rPr>
                <w:rFonts w:ascii="Calibri" w:hAnsi="Calibri"/>
                <w:color w:val="000000" w:themeColor="text1"/>
                <w:sz w:val="20"/>
                <w:szCs w:val="20"/>
              </w:rPr>
              <w:t>DiS</w:t>
            </w:r>
            <w:proofErr w:type="spellEnd"/>
            <w:r w:rsidRPr="00064F37">
              <w:rPr>
                <w:rFonts w:ascii="Calibri" w:hAnsi="Calibri"/>
                <w:color w:val="000000" w:themeColor="text1"/>
                <w:sz w:val="20"/>
                <w:szCs w:val="20"/>
              </w:rPr>
              <w:t xml:space="preserve"> alebo </w:t>
            </w:r>
            <w:proofErr w:type="spellStart"/>
            <w:r w:rsidRPr="00064F37">
              <w:rPr>
                <w:rFonts w:ascii="Calibri" w:hAnsi="Calibri"/>
                <w:color w:val="000000" w:themeColor="text1"/>
                <w:sz w:val="20"/>
                <w:szCs w:val="20"/>
              </w:rPr>
              <w:t>DiS.art</w:t>
            </w:r>
            <w:proofErr w:type="spellEnd"/>
            <w:r w:rsidRPr="00064F37">
              <w:rPr>
                <w:rFonts w:ascii="Calibri" w:hAnsi="Calibri"/>
                <w:color w:val="000000" w:themeColor="text1"/>
                <w:sz w:val="20"/>
                <w:szCs w:val="20"/>
              </w:rPr>
              <w:t xml:space="preserve"> podľa typu programu</w:t>
            </w:r>
          </w:p>
        </w:tc>
      </w:tr>
      <w:tr w:rsidR="00064F37" w:rsidRPr="00064F37" w14:paraId="72796341" w14:textId="77777777" w:rsidTr="00064F37">
        <w:trPr>
          <w:jc w:val="center"/>
        </w:trPr>
        <w:tc>
          <w:tcPr>
            <w:tcW w:w="1418" w:type="dxa"/>
          </w:tcPr>
          <w:p w14:paraId="03D58CEB"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Pomaturitné vyššie odborné štúdium</w:t>
            </w:r>
          </w:p>
        </w:tc>
        <w:tc>
          <w:tcPr>
            <w:tcW w:w="1380" w:type="dxa"/>
          </w:tcPr>
          <w:p w14:paraId="328BD649"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Najmenej 2 roky a najviac 3 roky, podľa vzdelávacieho programu</w:t>
            </w:r>
          </w:p>
        </w:tc>
        <w:tc>
          <w:tcPr>
            <w:tcW w:w="1381" w:type="dxa"/>
          </w:tcPr>
          <w:p w14:paraId="39A869DD"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Úplné stredné odborné alebo úplné stredné všeobecné vzdelanie, maturita</w:t>
            </w:r>
          </w:p>
        </w:tc>
        <w:tc>
          <w:tcPr>
            <w:tcW w:w="1572" w:type="dxa"/>
          </w:tcPr>
          <w:p w14:paraId="0CF217BC"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 xml:space="preserve">Študijné odbory s kódom </w:t>
            </w:r>
            <w:proofErr w:type="spellStart"/>
            <w:r w:rsidRPr="00064F37">
              <w:rPr>
                <w:rFonts w:ascii="Calibri" w:hAnsi="Calibri"/>
                <w:color w:val="000000" w:themeColor="text1"/>
                <w:sz w:val="20"/>
                <w:szCs w:val="20"/>
              </w:rPr>
              <w:t>xxxx</w:t>
            </w:r>
            <w:proofErr w:type="spellEnd"/>
            <w:r w:rsidRPr="00064F37">
              <w:rPr>
                <w:rFonts w:ascii="Calibri" w:hAnsi="Calibri"/>
                <w:color w:val="000000" w:themeColor="text1"/>
                <w:sz w:val="20"/>
                <w:szCs w:val="20"/>
              </w:rPr>
              <w:t xml:space="preserve"> Q a ďalšie programy vyššieho odborného vzdelania podľa vyhlášky o sústave odborov vzdelávania</w:t>
            </w:r>
          </w:p>
        </w:tc>
        <w:tc>
          <w:tcPr>
            <w:tcW w:w="1659" w:type="dxa"/>
          </w:tcPr>
          <w:p w14:paraId="3E852F9C"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Podľa požiadavky zamestnávateľov a vzdelávacieho programu, odporúčanie najmenej 50 percent hodín praktického vyučovania</w:t>
            </w:r>
          </w:p>
        </w:tc>
        <w:tc>
          <w:tcPr>
            <w:tcW w:w="1404" w:type="dxa"/>
          </w:tcPr>
          <w:p w14:paraId="168042E0"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Vysvedčenie o absolventskej skúške</w:t>
            </w:r>
          </w:p>
        </w:tc>
        <w:tc>
          <w:tcPr>
            <w:tcW w:w="1374" w:type="dxa"/>
          </w:tcPr>
          <w:p w14:paraId="51923EA0" w14:textId="77777777" w:rsidR="00D40CCB" w:rsidRPr="00064F37" w:rsidRDefault="00000000">
            <w:pPr>
              <w:spacing w:after="40"/>
              <w:rPr>
                <w:color w:val="000000" w:themeColor="text1"/>
                <w:sz w:val="20"/>
                <w:szCs w:val="20"/>
              </w:rPr>
            </w:pPr>
            <w:r w:rsidRPr="00064F37">
              <w:rPr>
                <w:rFonts w:ascii="Calibri" w:hAnsi="Calibri"/>
                <w:color w:val="000000" w:themeColor="text1"/>
                <w:sz w:val="20"/>
                <w:szCs w:val="20"/>
              </w:rPr>
              <w:t xml:space="preserve">Absolventský diplom, s právom používať titul </w:t>
            </w:r>
            <w:proofErr w:type="spellStart"/>
            <w:r w:rsidRPr="00064F37">
              <w:rPr>
                <w:rFonts w:ascii="Calibri" w:hAnsi="Calibri"/>
                <w:color w:val="000000" w:themeColor="text1"/>
                <w:sz w:val="20"/>
                <w:szCs w:val="20"/>
              </w:rPr>
              <w:t>DiS</w:t>
            </w:r>
            <w:proofErr w:type="spellEnd"/>
            <w:r w:rsidRPr="00064F37">
              <w:rPr>
                <w:rFonts w:ascii="Calibri" w:hAnsi="Calibri"/>
                <w:color w:val="000000" w:themeColor="text1"/>
                <w:sz w:val="20"/>
                <w:szCs w:val="20"/>
              </w:rPr>
              <w:t xml:space="preserve"> alebo </w:t>
            </w:r>
            <w:proofErr w:type="spellStart"/>
            <w:r w:rsidRPr="00064F37">
              <w:rPr>
                <w:rFonts w:ascii="Calibri" w:hAnsi="Calibri"/>
                <w:color w:val="000000" w:themeColor="text1"/>
                <w:sz w:val="20"/>
                <w:szCs w:val="20"/>
              </w:rPr>
              <w:t>DiS.art</w:t>
            </w:r>
            <w:proofErr w:type="spellEnd"/>
            <w:r w:rsidRPr="00064F37">
              <w:rPr>
                <w:rFonts w:ascii="Calibri" w:hAnsi="Calibri"/>
                <w:color w:val="000000" w:themeColor="text1"/>
                <w:sz w:val="20"/>
                <w:szCs w:val="20"/>
              </w:rPr>
              <w:t xml:space="preserve"> podľa typu programu</w:t>
            </w:r>
          </w:p>
        </w:tc>
      </w:tr>
    </w:tbl>
    <w:p w14:paraId="35E19A5E" w14:textId="77777777" w:rsidR="00D40CCB" w:rsidRPr="00064F37" w:rsidRDefault="00D40CCB">
      <w:pPr>
        <w:rPr>
          <w:color w:val="000000" w:themeColor="text1"/>
        </w:rPr>
      </w:pPr>
    </w:p>
    <w:p w14:paraId="2AEBD567" w14:textId="77777777" w:rsidR="00D40CCB" w:rsidRPr="00064F37" w:rsidRDefault="00000000">
      <w:pPr>
        <w:pStyle w:val="Nadpis2"/>
        <w:rPr>
          <w:color w:val="000000" w:themeColor="text1"/>
        </w:rPr>
      </w:pPr>
      <w:r w:rsidRPr="00064F37">
        <w:rPr>
          <w:rFonts w:ascii="Calibri" w:hAnsi="Calibri"/>
          <w:color w:val="000000" w:themeColor="text1"/>
          <w:sz w:val="24"/>
        </w:rPr>
        <w:t>Poznámky</w:t>
      </w:r>
    </w:p>
    <w:p w14:paraId="34668E4F" w14:textId="77777777" w:rsidR="00D40CCB" w:rsidRPr="00064F37" w:rsidRDefault="00000000">
      <w:pPr>
        <w:pStyle w:val="Zoznamsodrkami"/>
        <w:spacing w:after="120"/>
        <w:rPr>
          <w:color w:val="000000" w:themeColor="text1"/>
        </w:rPr>
      </w:pPr>
      <w:r w:rsidRPr="00064F37">
        <w:rPr>
          <w:rFonts w:ascii="Calibri" w:hAnsi="Calibri"/>
          <w:color w:val="000000" w:themeColor="text1"/>
        </w:rPr>
        <w:t>Odporúčaný podiel praktického vyučovania pre konkrétny odbor vzdelávania sa určí najmä podľa požiadaviek zamestnávateľských subjektov a vzdelávacieho programu.</w:t>
      </w:r>
    </w:p>
    <w:p w14:paraId="5D6E47E3" w14:textId="77777777" w:rsidR="00D40CCB" w:rsidRPr="00064F37" w:rsidRDefault="00000000">
      <w:pPr>
        <w:pStyle w:val="Zoznamsodrkami"/>
        <w:spacing w:after="120"/>
        <w:rPr>
          <w:color w:val="000000" w:themeColor="text1"/>
        </w:rPr>
      </w:pPr>
      <w:r w:rsidRPr="00064F37">
        <w:rPr>
          <w:rFonts w:ascii="Calibri" w:hAnsi="Calibri"/>
          <w:color w:val="000000" w:themeColor="text1"/>
        </w:rPr>
        <w:t>Pomaturitné kvalifikačné štúdium je možné v študijných odboroch, pri ktorých je v zozname odborov vzdelávania uvedená poznámka, že sa môže uskutočňovať formou kvalifikačného štúdia. Ak sa vyučovanie organizuje formou kvalifikačného štúdia, v kóde študijného odboru sa písmeno K alebo M nahrádza písmenom N.</w:t>
      </w:r>
    </w:p>
    <w:p w14:paraId="6AC8AB79" w14:textId="77777777" w:rsidR="00D40CCB" w:rsidRPr="00064F37" w:rsidRDefault="00000000">
      <w:pPr>
        <w:pStyle w:val="Zoznamsodrkami"/>
        <w:spacing w:after="120"/>
        <w:rPr>
          <w:color w:val="000000" w:themeColor="text1"/>
        </w:rPr>
      </w:pPr>
      <w:r w:rsidRPr="00064F37">
        <w:rPr>
          <w:rFonts w:ascii="Calibri" w:hAnsi="Calibri"/>
          <w:color w:val="000000" w:themeColor="text1"/>
        </w:rPr>
        <w:t>Skrátené štúdium v kontexte nadväzujúcich foriem odborného vzdelávania a prípravy sa po 1. januári 2026 považuje za dobiehajúcu formu. Účastník, ktorý skrátené štúdium začal podľa predpisov účinných do 31. decembra 2025, ho dokončí podľa predpisov účinných do 31. decembra 2025.</w:t>
      </w:r>
    </w:p>
    <w:p w14:paraId="2F674342" w14:textId="77777777" w:rsidR="00D40CCB" w:rsidRPr="00064F37" w:rsidRDefault="00000000">
      <w:pPr>
        <w:pStyle w:val="Zoznamsodrkami"/>
        <w:spacing w:after="120"/>
        <w:rPr>
          <w:color w:val="000000" w:themeColor="text1"/>
        </w:rPr>
      </w:pPr>
      <w:r w:rsidRPr="00064F37">
        <w:rPr>
          <w:rFonts w:ascii="Calibri" w:hAnsi="Calibri"/>
          <w:color w:val="000000" w:themeColor="text1"/>
        </w:rPr>
        <w:lastRenderedPageBreak/>
        <w:t>Aktualizované podľa právneho stavu k 1. januáru 2026.</w:t>
      </w:r>
    </w:p>
    <w:p w14:paraId="278C1006" w14:textId="77777777" w:rsidR="00D40CCB" w:rsidRPr="00064F37" w:rsidRDefault="00000000">
      <w:pPr>
        <w:spacing w:after="0"/>
        <w:rPr>
          <w:color w:val="000000" w:themeColor="text1"/>
        </w:rPr>
      </w:pPr>
      <w:r w:rsidRPr="00064F37">
        <w:rPr>
          <w:rFonts w:ascii="Calibri" w:hAnsi="Calibri"/>
          <w:color w:val="000000" w:themeColor="text1"/>
        </w:rPr>
        <w:t>Bližšie informácie k možnostiam vzdelávania v systéme duálneho vzdelávania 18+ poskytne príslušná stredná odborná škola alebo Štátny inštitút odborného vzdelávania.</w:t>
      </w:r>
    </w:p>
    <w:sectPr w:rsidR="00D40CCB" w:rsidRPr="00064F37"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2026126116">
    <w:abstractNumId w:val="8"/>
  </w:num>
  <w:num w:numId="2" w16cid:durableId="21902230">
    <w:abstractNumId w:val="6"/>
  </w:num>
  <w:num w:numId="3" w16cid:durableId="557058802">
    <w:abstractNumId w:val="5"/>
  </w:num>
  <w:num w:numId="4" w16cid:durableId="431440134">
    <w:abstractNumId w:val="4"/>
  </w:num>
  <w:num w:numId="5" w16cid:durableId="362097856">
    <w:abstractNumId w:val="7"/>
  </w:num>
  <w:num w:numId="6" w16cid:durableId="504365188">
    <w:abstractNumId w:val="3"/>
  </w:num>
  <w:num w:numId="7" w16cid:durableId="1556314937">
    <w:abstractNumId w:val="2"/>
  </w:num>
  <w:num w:numId="8" w16cid:durableId="1204441253">
    <w:abstractNumId w:val="1"/>
  </w:num>
  <w:num w:numId="9" w16cid:durableId="22360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F37"/>
    <w:rsid w:val="0015074B"/>
    <w:rsid w:val="00285F0E"/>
    <w:rsid w:val="0029639D"/>
    <w:rsid w:val="00326F90"/>
    <w:rsid w:val="00AA1D8D"/>
    <w:rsid w:val="00B47730"/>
    <w:rsid w:val="00CB0664"/>
    <w:rsid w:val="00D40C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B8CB6"/>
  <w14:defaultImageDpi w14:val="300"/>
  <w15:docId w15:val="{5ECC4EC1-7630-4C5B-9EB8-11E52EA7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Bachleda</cp:lastModifiedBy>
  <cp:revision>2</cp:revision>
  <dcterms:created xsi:type="dcterms:W3CDTF">2013-12-23T23:15:00Z</dcterms:created>
  <dcterms:modified xsi:type="dcterms:W3CDTF">2026-02-19T12:49:00Z</dcterms:modified>
  <cp:category/>
</cp:coreProperties>
</file>