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73" w:rsidRPr="00E87B56" w:rsidRDefault="00E24873" w:rsidP="00E24873">
      <w:pPr>
        <w:jc w:val="center"/>
        <w:outlineLvl w:val="0"/>
        <w:rPr>
          <w:b/>
        </w:rPr>
      </w:pPr>
    </w:p>
    <w:p w:rsidR="00E24873" w:rsidRPr="00E87B56" w:rsidRDefault="00E24873" w:rsidP="00E24873">
      <w:pPr>
        <w:jc w:val="center"/>
        <w:outlineLvl w:val="0"/>
        <w:rPr>
          <w:b/>
        </w:rPr>
      </w:pPr>
    </w:p>
    <w:p w:rsidR="00E24873" w:rsidRPr="00E87B56" w:rsidRDefault="00E24873" w:rsidP="00E24873">
      <w:pPr>
        <w:jc w:val="center"/>
        <w:outlineLvl w:val="0"/>
        <w:rPr>
          <w:b/>
        </w:rPr>
      </w:pP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 xml:space="preserve">Š T A T Ú T </w:t>
      </w:r>
      <w:r w:rsidRPr="00E87B56">
        <w:rPr>
          <w:b/>
        </w:rPr>
        <w:br/>
      </w: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 xml:space="preserve">KOMISIE  PRE UDELENIE OPRÁVNENIA STREDNEJ ODBORNEJ ŠKOLE POUŽÍVAŤ POPRI SVOJOM NÁZVE AJ OZNAČENIE CENTRUM ODBORNÉHO VZDELÁVANIA A PRÍPRAVY </w:t>
      </w:r>
      <w:r w:rsidR="00E87B56">
        <w:rPr>
          <w:b/>
        </w:rPr>
        <w:t>PRE SKUPINY</w:t>
      </w:r>
      <w:r w:rsidRPr="00E87B56">
        <w:rPr>
          <w:b/>
        </w:rPr>
        <w:t xml:space="preserve"> UČEBNÝCH A ŠTUDIJNÝCH </w:t>
      </w:r>
      <w:r w:rsidR="00D1448A" w:rsidRPr="00E87B56">
        <w:rPr>
          <w:b/>
        </w:rPr>
        <w:t>ODBOROV</w:t>
      </w:r>
      <w:r w:rsidRPr="00E87B56">
        <w:rPr>
          <w:b/>
        </w:rPr>
        <w:t xml:space="preserve"> </w:t>
      </w:r>
    </w:p>
    <w:p w:rsidR="00E24873" w:rsidRPr="00E87B56" w:rsidRDefault="00E24873" w:rsidP="00E24873">
      <w:pPr>
        <w:jc w:val="both"/>
      </w:pPr>
    </w:p>
    <w:p w:rsidR="00E24873" w:rsidRPr="00E87B56" w:rsidRDefault="00E24873" w:rsidP="00E2487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7B56">
        <w:rPr>
          <w:rFonts w:eastAsia="Calibri"/>
          <w:lang w:eastAsia="en-US"/>
        </w:rPr>
        <w:t>29 Potravinárstvo</w:t>
      </w:r>
    </w:p>
    <w:p w:rsidR="00E24873" w:rsidRPr="00E87B56" w:rsidRDefault="00E24873" w:rsidP="00E2487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7B56">
        <w:rPr>
          <w:rFonts w:eastAsia="Calibri"/>
          <w:lang w:eastAsia="en-US"/>
        </w:rPr>
        <w:t>42 Poľnohospodárstvo, lesníctvo a rozvoj vidieka I.</w:t>
      </w:r>
    </w:p>
    <w:p w:rsidR="00E24873" w:rsidRPr="00E87B56" w:rsidRDefault="00E24873" w:rsidP="00E2487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7B56">
        <w:rPr>
          <w:rFonts w:eastAsia="Calibri"/>
          <w:lang w:eastAsia="en-US"/>
        </w:rPr>
        <w:t>43 Veterinárne vedy</w:t>
      </w:r>
    </w:p>
    <w:p w:rsidR="00E24873" w:rsidRPr="00E87B56" w:rsidRDefault="00E24873" w:rsidP="00E2487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7B56">
        <w:rPr>
          <w:rFonts w:eastAsia="Calibri"/>
          <w:lang w:eastAsia="en-US"/>
        </w:rPr>
        <w:t xml:space="preserve">45 Poľnohospodárstvo, lesníctvo a rozvoj vidieka II. </w:t>
      </w:r>
    </w:p>
    <w:p w:rsidR="00E24873" w:rsidRPr="00E87B56" w:rsidRDefault="00E24873" w:rsidP="00E24873">
      <w:pPr>
        <w:rPr>
          <w:caps/>
        </w:rPr>
      </w:pPr>
    </w:p>
    <w:p w:rsidR="00E24873" w:rsidRPr="00E87B56" w:rsidRDefault="00E24873" w:rsidP="00E24873">
      <w:pPr>
        <w:pStyle w:val="opcislo"/>
        <w:numPr>
          <w:ilvl w:val="0"/>
          <w:numId w:val="0"/>
        </w:numPr>
        <w:tabs>
          <w:tab w:val="left" w:pos="708"/>
        </w:tabs>
        <w:spacing w:before="0"/>
        <w:jc w:val="both"/>
        <w:rPr>
          <w:sz w:val="24"/>
          <w:szCs w:val="24"/>
        </w:rPr>
      </w:pPr>
      <w:r w:rsidRPr="00E87B56">
        <w:rPr>
          <w:sz w:val="24"/>
          <w:szCs w:val="24"/>
        </w:rPr>
        <w:tab/>
      </w:r>
    </w:p>
    <w:p w:rsidR="00E24873" w:rsidRPr="00E87B56" w:rsidRDefault="00E24873" w:rsidP="00E24873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E87B56">
        <w:rPr>
          <w:rFonts w:ascii="Times New Roman" w:hAnsi="Times New Roman"/>
          <w:sz w:val="24"/>
          <w:szCs w:val="24"/>
        </w:rPr>
        <w:t>Slovenská poľnohospodárska a potravinárska komora (ďalej len „SPPK“), ako stavovská organizácia s vecnou pôsobnosťou podľa vyhlášky č. 64/2015 Z. z. o sústave odborov vzdelávania a o vecnej pôsobnosti k odborom vzdelávania k vyššie uvedeným skupinám odborov vzdelávania, v zmysle § 24 ods. 2 písm. d) zákona č. 61/2015 Z. z. o odbornom vzdelávaní a príprave a o zmene a doplnení niektorých zákonov (ďalej len „zákon“), vydáva podrobnosti o zriadení a činnosti komisie  pre udelenie oprávnenia strednej odbornej škole (ďalej len „SOŠ“) používať popri svojom názve aj označenie centrum odborného vzdelávania a prípravy pre učebné a študijné odbory zaradené do vyššie uvedených skupín odborov (ďalej len „Centrum OVP“)</w:t>
      </w:r>
      <w:r w:rsidR="00841595">
        <w:rPr>
          <w:rFonts w:ascii="Times New Roman" w:hAnsi="Times New Roman"/>
          <w:sz w:val="24"/>
          <w:szCs w:val="24"/>
        </w:rPr>
        <w:t xml:space="preserve"> formou štatútu komisie pre udelenie oprávnenia SOŠ používať popri svojom názve aj označenie Centrum OVP pre vyššie uvedené skupiny odborov (ďalej len „Štatút komisie)</w:t>
      </w:r>
      <w:r w:rsidRPr="00E87B56">
        <w:rPr>
          <w:rFonts w:ascii="Times New Roman" w:hAnsi="Times New Roman"/>
          <w:sz w:val="24"/>
          <w:szCs w:val="24"/>
        </w:rPr>
        <w:t xml:space="preserve">. </w:t>
      </w:r>
    </w:p>
    <w:p w:rsidR="00E24873" w:rsidRPr="00E87B56" w:rsidRDefault="00E24873" w:rsidP="00E24873"/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Článok 1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>Úvodné ustanovenia</w:t>
      </w:r>
    </w:p>
    <w:p w:rsidR="00E24873" w:rsidRPr="00E87B56" w:rsidRDefault="00E24873" w:rsidP="00E24873">
      <w:pPr>
        <w:rPr>
          <w:b/>
        </w:rPr>
      </w:pPr>
    </w:p>
    <w:p w:rsidR="00821538" w:rsidRDefault="00841595" w:rsidP="00821538">
      <w:pPr>
        <w:widowControl w:val="0"/>
        <w:numPr>
          <w:ilvl w:val="0"/>
          <w:numId w:val="9"/>
        </w:numPr>
        <w:adjustRightInd w:val="0"/>
        <w:ind w:left="426" w:hanging="426"/>
        <w:jc w:val="both"/>
        <w:textAlignment w:val="baseline"/>
      </w:pPr>
      <w:r>
        <w:t>Štatút komisie</w:t>
      </w:r>
      <w:r w:rsidR="00E24873" w:rsidRPr="00E87B56">
        <w:t xml:space="preserve"> upravuje pôsobnosť, postavenie, podmienky členstva, zloženie a zásady činnosti komisie</w:t>
      </w:r>
      <w:r>
        <w:t xml:space="preserve"> pre udelenie možnosti SOŠ pôsobiť ako Centrum OVP pre vyššie uvedené skupiny odborov. </w:t>
      </w:r>
      <w:r w:rsidR="00E24873" w:rsidRPr="00E87B56">
        <w:t xml:space="preserve"> </w:t>
      </w:r>
    </w:p>
    <w:p w:rsidR="00821538" w:rsidRDefault="00821538" w:rsidP="00821538">
      <w:pPr>
        <w:widowControl w:val="0"/>
        <w:adjustRightInd w:val="0"/>
        <w:ind w:left="426" w:hanging="426"/>
        <w:jc w:val="both"/>
        <w:textAlignment w:val="baseline"/>
      </w:pPr>
    </w:p>
    <w:p w:rsidR="00E24873" w:rsidRPr="00E87B56" w:rsidRDefault="00E24873" w:rsidP="00821538">
      <w:pPr>
        <w:widowControl w:val="0"/>
        <w:numPr>
          <w:ilvl w:val="0"/>
          <w:numId w:val="9"/>
        </w:numPr>
        <w:adjustRightInd w:val="0"/>
        <w:ind w:left="426" w:hanging="426"/>
        <w:jc w:val="both"/>
        <w:textAlignment w:val="baseline"/>
      </w:pPr>
      <w:r w:rsidRPr="00E87B56">
        <w:t xml:space="preserve">Projektom sa pre účely tohto štatútu rozumie žiadosť SOŠ a prílohy k žiadosti (ďalej len „Projekt“). Podrobnosti o obsahu </w:t>
      </w:r>
      <w:r w:rsidR="00841595">
        <w:t xml:space="preserve">Projektu </w:t>
      </w:r>
      <w:r w:rsidRPr="00E87B56">
        <w:t xml:space="preserve">sú uvedené v Podmienkach pre udelenie oprávnenia strednej odbornej škole používať popri svojom názve aj označenie Centrum OVP pre </w:t>
      </w:r>
      <w:r w:rsidR="00841595">
        <w:t>vyššie uvedené skupiny odborov</w:t>
      </w:r>
      <w:r w:rsidRPr="00E87B56">
        <w:t xml:space="preserve"> (ďalej len „Podmienky“).</w:t>
      </w:r>
    </w:p>
    <w:p w:rsidR="00E24873" w:rsidRPr="00E87B56" w:rsidRDefault="00E24873" w:rsidP="00E24873">
      <w:pPr>
        <w:widowControl w:val="0"/>
        <w:adjustRightInd w:val="0"/>
        <w:jc w:val="both"/>
        <w:textAlignment w:val="baseline"/>
      </w:pP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Článok 2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 xml:space="preserve">Pôsobnosť komisie </w:t>
      </w:r>
    </w:p>
    <w:p w:rsidR="00E24873" w:rsidRPr="00E87B56" w:rsidRDefault="00E24873" w:rsidP="00E24873">
      <w:pPr>
        <w:widowControl w:val="0"/>
        <w:adjustRightInd w:val="0"/>
        <w:jc w:val="both"/>
        <w:textAlignment w:val="baseline"/>
      </w:pPr>
    </w:p>
    <w:p w:rsidR="00821538" w:rsidRDefault="00E24873" w:rsidP="00821538">
      <w:pPr>
        <w:widowControl w:val="0"/>
        <w:numPr>
          <w:ilvl w:val="0"/>
          <w:numId w:val="10"/>
        </w:numPr>
        <w:adjustRightInd w:val="0"/>
        <w:ind w:left="426" w:hanging="426"/>
        <w:jc w:val="both"/>
        <w:textAlignment w:val="baseline"/>
      </w:pPr>
      <w:r w:rsidRPr="00E87B56">
        <w:t xml:space="preserve">Komisia hodnotí Projekty predložené žiadateľmi v súlade s výzvou na predkladanie projektov. </w:t>
      </w:r>
      <w:r w:rsidR="00821538">
        <w:br/>
      </w:r>
    </w:p>
    <w:p w:rsidR="00E24873" w:rsidRPr="00E87B56" w:rsidRDefault="00E24873" w:rsidP="00821538">
      <w:pPr>
        <w:widowControl w:val="0"/>
        <w:numPr>
          <w:ilvl w:val="0"/>
          <w:numId w:val="10"/>
        </w:numPr>
        <w:adjustRightInd w:val="0"/>
        <w:ind w:left="426" w:hanging="426"/>
        <w:jc w:val="both"/>
        <w:textAlignment w:val="baseline"/>
      </w:pPr>
      <w:r w:rsidRPr="00E87B56">
        <w:t xml:space="preserve">Komisia na základe hodnotenia odporúča predsedovi SPPK schváliť alebo neschváliť možnosť SOŠ používať </w:t>
      </w:r>
      <w:r w:rsidRPr="00821538">
        <w:t>popri svojom názve aj označenie Centrum OVP</w:t>
      </w:r>
      <w:r w:rsidRPr="00E87B56">
        <w:t xml:space="preserve">.  </w:t>
      </w:r>
    </w:p>
    <w:p w:rsidR="00E24873" w:rsidRPr="00E87B56" w:rsidRDefault="00E24873" w:rsidP="00E24873">
      <w:pPr>
        <w:spacing w:line="360" w:lineRule="auto"/>
        <w:rPr>
          <w:b/>
        </w:rPr>
      </w:pP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Článok 3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>Členstvo v komisii</w:t>
      </w:r>
    </w:p>
    <w:p w:rsidR="00E24873" w:rsidRPr="00E87B56" w:rsidRDefault="00E24873" w:rsidP="00E24873">
      <w:pPr>
        <w:rPr>
          <w:b/>
        </w:rPr>
      </w:pPr>
    </w:p>
    <w:p w:rsidR="00821538" w:rsidRDefault="00E24873" w:rsidP="00821538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 xml:space="preserve">Komisia má minimálne </w:t>
      </w:r>
      <w:r w:rsidR="00841595">
        <w:t>3</w:t>
      </w:r>
      <w:r w:rsidRPr="00E87B56">
        <w:t xml:space="preserve"> členov a maximálne 11 členov s hlasovacím právom. Pri výbere členov komisie je uplatnený princíp partnerstva.</w:t>
      </w:r>
    </w:p>
    <w:p w:rsidR="00821538" w:rsidRDefault="00821538" w:rsidP="00821538">
      <w:pPr>
        <w:widowControl w:val="0"/>
        <w:adjustRightInd w:val="0"/>
        <w:ind w:left="426" w:hanging="426"/>
        <w:jc w:val="both"/>
        <w:textAlignment w:val="baseline"/>
      </w:pPr>
    </w:p>
    <w:p w:rsidR="00E24873" w:rsidRPr="00E87B56" w:rsidRDefault="00E24873" w:rsidP="00821538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lastRenderedPageBreak/>
        <w:t xml:space="preserve">Členmi komisie sú zástupcovia: </w:t>
      </w:r>
    </w:p>
    <w:p w:rsidR="00E24873" w:rsidRPr="00E87B56" w:rsidRDefault="00E24873" w:rsidP="00E24873">
      <w:pPr>
        <w:widowControl w:val="0"/>
        <w:adjustRightInd w:val="0"/>
        <w:ind w:left="1080"/>
        <w:jc w:val="both"/>
        <w:textAlignment w:val="baseline"/>
      </w:pPr>
      <w:r w:rsidRPr="00E87B56">
        <w:t xml:space="preserve">a) </w:t>
      </w:r>
      <w:r w:rsidRPr="00E87B56">
        <w:tab/>
        <w:t>SPPK,</w:t>
      </w:r>
    </w:p>
    <w:p w:rsidR="00821538" w:rsidRDefault="00E24873" w:rsidP="00821538">
      <w:pPr>
        <w:widowControl w:val="0"/>
        <w:adjustRightInd w:val="0"/>
        <w:ind w:left="1080"/>
        <w:jc w:val="both"/>
        <w:textAlignment w:val="baseline"/>
      </w:pPr>
      <w:r w:rsidRPr="00E87B56">
        <w:t>b)</w:t>
      </w:r>
      <w:r w:rsidRPr="00E87B56">
        <w:tab/>
        <w:t>zriaďovateľa SOŠ.</w:t>
      </w:r>
    </w:p>
    <w:p w:rsidR="00821538" w:rsidRDefault="00821538" w:rsidP="00821538">
      <w:pPr>
        <w:widowControl w:val="0"/>
        <w:adjustRightInd w:val="0"/>
        <w:ind w:left="1080"/>
        <w:jc w:val="both"/>
        <w:textAlignment w:val="baseline"/>
      </w:pPr>
    </w:p>
    <w:p w:rsidR="00E24873" w:rsidRPr="00E87B56" w:rsidRDefault="00E24873" w:rsidP="00821538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 xml:space="preserve">Členmi komisie môžu byť odborní pracovníci: </w:t>
      </w:r>
    </w:p>
    <w:p w:rsidR="00E24873" w:rsidRPr="00E87B56" w:rsidRDefault="00E24873" w:rsidP="00E24873">
      <w:pPr>
        <w:widowControl w:val="0"/>
        <w:numPr>
          <w:ilvl w:val="0"/>
          <w:numId w:val="5"/>
        </w:numPr>
        <w:adjustRightInd w:val="0"/>
        <w:jc w:val="both"/>
        <w:textAlignment w:val="baseline"/>
      </w:pPr>
      <w:r w:rsidRPr="00E87B56">
        <w:t>štátnej správ,</w:t>
      </w:r>
    </w:p>
    <w:p w:rsidR="00E24873" w:rsidRPr="00E87B56" w:rsidRDefault="00E24873" w:rsidP="00E24873">
      <w:pPr>
        <w:widowControl w:val="0"/>
        <w:numPr>
          <w:ilvl w:val="0"/>
          <w:numId w:val="5"/>
        </w:numPr>
        <w:adjustRightInd w:val="0"/>
        <w:jc w:val="both"/>
        <w:textAlignment w:val="baseline"/>
      </w:pPr>
      <w:r w:rsidRPr="00E87B56">
        <w:t>verejnej správy,</w:t>
      </w:r>
    </w:p>
    <w:p w:rsidR="00E24873" w:rsidRPr="00E87B56" w:rsidRDefault="00E24873" w:rsidP="00E24873">
      <w:pPr>
        <w:widowControl w:val="0"/>
        <w:numPr>
          <w:ilvl w:val="0"/>
          <w:numId w:val="5"/>
        </w:numPr>
        <w:adjustRightInd w:val="0"/>
        <w:jc w:val="both"/>
        <w:textAlignment w:val="baseline"/>
      </w:pPr>
      <w:r w:rsidRPr="00E87B56">
        <w:t>samosprávy,</w:t>
      </w:r>
    </w:p>
    <w:p w:rsidR="00E24873" w:rsidRPr="00E87B56" w:rsidRDefault="00E24873" w:rsidP="00E24873">
      <w:pPr>
        <w:widowControl w:val="0"/>
        <w:numPr>
          <w:ilvl w:val="0"/>
          <w:numId w:val="5"/>
        </w:numPr>
        <w:adjustRightInd w:val="0"/>
        <w:jc w:val="both"/>
        <w:textAlignment w:val="baseline"/>
      </w:pPr>
      <w:r w:rsidRPr="00E87B56">
        <w:t>zástupcovia komôr,</w:t>
      </w:r>
    </w:p>
    <w:p w:rsidR="00821538" w:rsidRDefault="00E24873" w:rsidP="00E24873">
      <w:pPr>
        <w:widowControl w:val="0"/>
        <w:numPr>
          <w:ilvl w:val="0"/>
          <w:numId w:val="5"/>
        </w:numPr>
        <w:adjustRightInd w:val="0"/>
        <w:jc w:val="both"/>
        <w:textAlignment w:val="baseline"/>
      </w:pPr>
      <w:r w:rsidRPr="00E87B56">
        <w:t xml:space="preserve">externí odborníci pre danú oblasť teórie a praxe (výskumné ústavy, vzdelávacie inštitúcie, VÚC, profesijné zväzy a združenia, zástupca zriaďovateľa  a iné) pri dodržaní povinnosti zamedziť vzniku konfliktu záujmov. </w:t>
      </w:r>
    </w:p>
    <w:p w:rsidR="00821538" w:rsidRDefault="00821538" w:rsidP="00821538">
      <w:pPr>
        <w:widowControl w:val="0"/>
        <w:adjustRightInd w:val="0"/>
        <w:ind w:left="1440"/>
        <w:jc w:val="both"/>
        <w:textAlignment w:val="baseline"/>
      </w:pPr>
    </w:p>
    <w:p w:rsidR="00821538" w:rsidRDefault="00E24873" w:rsidP="00E87B56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>Členov komisie schvaľuje</w:t>
      </w:r>
      <w:r w:rsidR="00841595">
        <w:t xml:space="preserve">, </w:t>
      </w:r>
      <w:r w:rsidRPr="00E87B56">
        <w:t>menuje a odvoláva predseda SPPK.</w:t>
      </w:r>
    </w:p>
    <w:p w:rsidR="00821538" w:rsidRDefault="00821538" w:rsidP="00821538">
      <w:pPr>
        <w:widowControl w:val="0"/>
        <w:adjustRightInd w:val="0"/>
        <w:ind w:left="426"/>
        <w:jc w:val="both"/>
        <w:textAlignment w:val="baseline"/>
      </w:pPr>
    </w:p>
    <w:p w:rsidR="00821538" w:rsidRDefault="00E24873" w:rsidP="00E24873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 xml:space="preserve">Pokiaľ sa člen komisie nemôže z vážnych dôvodov zúčastniť zasadnutia, je povinný najmenej tri  pracovné  dni  pred začatím zasadnutia oznámiť túto skutočnosť  tajomníkovi komisie. </w:t>
      </w:r>
    </w:p>
    <w:p w:rsidR="00821538" w:rsidRDefault="00E24873" w:rsidP="00821538">
      <w:pPr>
        <w:widowControl w:val="0"/>
        <w:adjustRightInd w:val="0"/>
        <w:jc w:val="both"/>
        <w:textAlignment w:val="baseline"/>
      </w:pPr>
      <w:r w:rsidRPr="00E87B56">
        <w:t xml:space="preserve">  </w:t>
      </w:r>
    </w:p>
    <w:p w:rsidR="00821538" w:rsidRDefault="00E24873" w:rsidP="00E24873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>Účasť členov komisie na zasadnutí komisie je povinná. Členstvo v komisii je nezastupiteľné.</w:t>
      </w:r>
    </w:p>
    <w:p w:rsidR="00821538" w:rsidRDefault="00E24873" w:rsidP="00821538">
      <w:pPr>
        <w:widowControl w:val="0"/>
        <w:adjustRightInd w:val="0"/>
        <w:jc w:val="both"/>
        <w:textAlignment w:val="baseline"/>
      </w:pPr>
      <w:r w:rsidRPr="00E87B56">
        <w:t xml:space="preserve"> </w:t>
      </w:r>
    </w:p>
    <w:p w:rsidR="00E24873" w:rsidRPr="00E87B56" w:rsidRDefault="00E24873" w:rsidP="00E24873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>Predpokladom členstva v komisii sú:</w:t>
      </w:r>
    </w:p>
    <w:p w:rsidR="00E24873" w:rsidRPr="00E87B56" w:rsidRDefault="00E24873" w:rsidP="00E24873">
      <w:pPr>
        <w:widowControl w:val="0"/>
        <w:adjustRightInd w:val="0"/>
        <w:ind w:left="1080"/>
        <w:jc w:val="both"/>
        <w:textAlignment w:val="baseline"/>
      </w:pPr>
      <w:r w:rsidRPr="00E87B56">
        <w:t xml:space="preserve">a)  bezúhonnosť a spôsobilosť na právne úkony, </w:t>
      </w:r>
    </w:p>
    <w:p w:rsidR="00821538" w:rsidRDefault="00E24873" w:rsidP="00821538">
      <w:pPr>
        <w:widowControl w:val="0"/>
        <w:adjustRightInd w:val="0"/>
        <w:ind w:left="1080"/>
        <w:jc w:val="both"/>
        <w:textAlignment w:val="baseline"/>
      </w:pPr>
      <w:r w:rsidRPr="00E87B56">
        <w:t xml:space="preserve">b) </w:t>
      </w:r>
      <w:r w:rsidRPr="00E87B56">
        <w:tab/>
        <w:t xml:space="preserve">odborná spôsobilosť. </w:t>
      </w:r>
    </w:p>
    <w:p w:rsidR="00821538" w:rsidRDefault="00821538" w:rsidP="00821538">
      <w:pPr>
        <w:widowControl w:val="0"/>
        <w:adjustRightInd w:val="0"/>
        <w:jc w:val="both"/>
        <w:textAlignment w:val="baseline"/>
      </w:pPr>
    </w:p>
    <w:p w:rsidR="00E24873" w:rsidRPr="00E87B56" w:rsidRDefault="00E24873" w:rsidP="00821538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>Členstvo v komisii zaniká:</w:t>
      </w:r>
    </w:p>
    <w:p w:rsidR="00E24873" w:rsidRPr="00E87B56" w:rsidRDefault="00E24873" w:rsidP="00E24873">
      <w:pPr>
        <w:widowControl w:val="0"/>
        <w:adjustRightInd w:val="0"/>
        <w:ind w:left="1080"/>
        <w:jc w:val="both"/>
        <w:textAlignment w:val="baseline"/>
      </w:pPr>
      <w:r w:rsidRPr="00E87B56">
        <w:t>a)</w:t>
      </w:r>
      <w:r w:rsidRPr="00E87B56">
        <w:tab/>
        <w:t xml:space="preserve">ukončením hodnotenia návrhov projektov v rámci príslušnej výzvy, </w:t>
      </w:r>
    </w:p>
    <w:p w:rsidR="00E24873" w:rsidRPr="00E87B56" w:rsidRDefault="00E24873" w:rsidP="00E24873">
      <w:pPr>
        <w:widowControl w:val="0"/>
        <w:adjustRightInd w:val="0"/>
        <w:ind w:left="1080"/>
        <w:jc w:val="both"/>
        <w:textAlignment w:val="baseline"/>
      </w:pPr>
      <w:r w:rsidRPr="00E87B56">
        <w:t xml:space="preserve">b) </w:t>
      </w:r>
      <w:r w:rsidRPr="00E87B56">
        <w:tab/>
        <w:t>odvolaním,</w:t>
      </w:r>
    </w:p>
    <w:p w:rsidR="00E24873" w:rsidRPr="00E87B56" w:rsidRDefault="00E24873" w:rsidP="00E24873">
      <w:pPr>
        <w:widowControl w:val="0"/>
        <w:adjustRightInd w:val="0"/>
        <w:ind w:left="1080"/>
        <w:jc w:val="both"/>
        <w:textAlignment w:val="baseline"/>
      </w:pPr>
      <w:r w:rsidRPr="00E87B56">
        <w:t xml:space="preserve">c) </w:t>
      </w:r>
      <w:r w:rsidRPr="00E87B56">
        <w:tab/>
        <w:t>vzdaním sa členstva,</w:t>
      </w:r>
    </w:p>
    <w:p w:rsidR="00E24873" w:rsidRPr="00E87B56" w:rsidRDefault="00E24873" w:rsidP="00E24873">
      <w:pPr>
        <w:widowControl w:val="0"/>
        <w:adjustRightInd w:val="0"/>
        <w:ind w:left="1080"/>
        <w:jc w:val="both"/>
        <w:textAlignment w:val="baseline"/>
      </w:pPr>
      <w:r w:rsidRPr="00E87B56">
        <w:t xml:space="preserve">d) </w:t>
      </w:r>
      <w:r w:rsidRPr="00E87B56">
        <w:tab/>
        <w:t>smrťou,</w:t>
      </w:r>
    </w:p>
    <w:p w:rsidR="00821538" w:rsidRDefault="00E24873" w:rsidP="00821538">
      <w:pPr>
        <w:widowControl w:val="0"/>
        <w:adjustRightInd w:val="0"/>
        <w:ind w:left="1080"/>
        <w:jc w:val="both"/>
        <w:textAlignment w:val="baseline"/>
      </w:pPr>
      <w:r w:rsidRPr="00E87B56">
        <w:t>e)  ak  bol člen komisie právoplatne odsúdený za úmyselný trestný čin.</w:t>
      </w:r>
    </w:p>
    <w:p w:rsidR="00821538" w:rsidRDefault="00821538" w:rsidP="00821538">
      <w:pPr>
        <w:widowControl w:val="0"/>
        <w:adjustRightInd w:val="0"/>
        <w:ind w:left="1080"/>
        <w:jc w:val="both"/>
        <w:textAlignment w:val="baseline"/>
      </w:pPr>
    </w:p>
    <w:p w:rsidR="00E24873" w:rsidRPr="00E87B56" w:rsidRDefault="00E24873" w:rsidP="00821538">
      <w:pPr>
        <w:widowControl w:val="0"/>
        <w:numPr>
          <w:ilvl w:val="0"/>
          <w:numId w:val="11"/>
        </w:numPr>
        <w:adjustRightInd w:val="0"/>
        <w:ind w:left="426" w:hanging="426"/>
        <w:jc w:val="both"/>
        <w:textAlignment w:val="baseline"/>
      </w:pPr>
      <w:r w:rsidRPr="00E87B56">
        <w:t xml:space="preserve">Člen komisie je povinný zachovávať mlčanlivosť o všetkých skutočnostiach, o ktorých sa dozvedel pri výkone svojej funkcie alebo v súvislosti s ňou, a ktoré v záujme komisie nemožno oznamovať iným osobám. V prípade porušenia tejto povinnosti predseda SPPK člena komisie odvolá. </w:t>
      </w:r>
    </w:p>
    <w:p w:rsidR="00E24873" w:rsidRPr="00E87B56" w:rsidRDefault="00E87B56" w:rsidP="00E24873">
      <w:pPr>
        <w:jc w:val="center"/>
        <w:outlineLvl w:val="0"/>
        <w:rPr>
          <w:b/>
        </w:rPr>
      </w:pPr>
      <w:r>
        <w:rPr>
          <w:b/>
        </w:rPr>
        <w:br/>
      </w:r>
      <w:r w:rsidR="00E24873" w:rsidRPr="00E87B56">
        <w:rPr>
          <w:b/>
        </w:rPr>
        <w:t>Článok 4</w:t>
      </w: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Konflikt záujmov</w:t>
      </w:r>
    </w:p>
    <w:p w:rsidR="00E24873" w:rsidRPr="00E87B56" w:rsidRDefault="00E24873" w:rsidP="00E24873">
      <w:pPr>
        <w:rPr>
          <w:b/>
        </w:rPr>
      </w:pPr>
    </w:p>
    <w:p w:rsidR="00821538" w:rsidRDefault="00E24873" w:rsidP="00E24873">
      <w:pPr>
        <w:widowControl w:val="0"/>
        <w:numPr>
          <w:ilvl w:val="0"/>
          <w:numId w:val="12"/>
        </w:numPr>
        <w:adjustRightInd w:val="0"/>
        <w:ind w:left="426" w:hanging="426"/>
        <w:jc w:val="both"/>
        <w:textAlignment w:val="baseline"/>
      </w:pPr>
      <w:r w:rsidRPr="00E87B56">
        <w:t xml:space="preserve">Člen komisie je povinný zdržať sa akejkoľvek činnosti, ktorá by bola v rozpore s jeho členstvom v komisii. </w:t>
      </w:r>
      <w:r w:rsidR="00821538">
        <w:br/>
      </w:r>
    </w:p>
    <w:p w:rsidR="00E24873" w:rsidRPr="00E87B56" w:rsidRDefault="00E24873" w:rsidP="00E24873">
      <w:pPr>
        <w:widowControl w:val="0"/>
        <w:numPr>
          <w:ilvl w:val="0"/>
          <w:numId w:val="12"/>
        </w:numPr>
        <w:adjustRightInd w:val="0"/>
        <w:ind w:left="426" w:hanging="426"/>
        <w:jc w:val="both"/>
        <w:textAlignment w:val="baseline"/>
      </w:pPr>
      <w:r w:rsidRPr="00E87B56">
        <w:t>Za konflikt záujmov sa považuje taktiež:</w:t>
      </w:r>
    </w:p>
    <w:p w:rsidR="00E24873" w:rsidRPr="00E87B56" w:rsidRDefault="00E24873" w:rsidP="00821538">
      <w:pPr>
        <w:widowControl w:val="0"/>
        <w:numPr>
          <w:ilvl w:val="0"/>
          <w:numId w:val="13"/>
        </w:numPr>
        <w:adjustRightInd w:val="0"/>
        <w:ind w:left="1418" w:hanging="284"/>
        <w:jc w:val="both"/>
        <w:textAlignment w:val="baseline"/>
      </w:pPr>
      <w:r w:rsidRPr="00E87B56">
        <w:t>pôsobenie v organizácií, ktorá vypracováva projekt, ktorý je predmetom hodnotenia,</w:t>
      </w:r>
    </w:p>
    <w:p w:rsidR="00E24873" w:rsidRDefault="00E24873" w:rsidP="00821538">
      <w:pPr>
        <w:widowControl w:val="0"/>
        <w:numPr>
          <w:ilvl w:val="0"/>
          <w:numId w:val="13"/>
        </w:numPr>
        <w:adjustRightInd w:val="0"/>
        <w:ind w:left="1418" w:hanging="284"/>
        <w:jc w:val="both"/>
        <w:textAlignment w:val="baseline"/>
      </w:pPr>
      <w:r w:rsidRPr="00E87B56">
        <w:t xml:space="preserve">pôsobenie blízkej osoby v organizácii, ktorá vypracováva projekty alebo predkladá projekty. Blízkou osobou sa na účely tohto štatútu rozumie blízka osoba definovaná v  § 116  Občianskeho zákonníka. </w:t>
      </w:r>
    </w:p>
    <w:p w:rsidR="001649F7" w:rsidRDefault="001649F7" w:rsidP="001649F7">
      <w:pPr>
        <w:widowControl w:val="0"/>
        <w:adjustRightInd w:val="0"/>
        <w:jc w:val="both"/>
        <w:textAlignment w:val="baseline"/>
      </w:pPr>
    </w:p>
    <w:p w:rsidR="001649F7" w:rsidRPr="00E87B56" w:rsidRDefault="001649F7" w:rsidP="001649F7">
      <w:pPr>
        <w:jc w:val="center"/>
        <w:outlineLvl w:val="0"/>
        <w:rPr>
          <w:b/>
        </w:rPr>
      </w:pPr>
      <w:r w:rsidRPr="00E87B56">
        <w:rPr>
          <w:b/>
        </w:rPr>
        <w:t>Článok 5</w:t>
      </w:r>
    </w:p>
    <w:p w:rsidR="001649F7" w:rsidRPr="00E87B56" w:rsidRDefault="001649F7" w:rsidP="001649F7">
      <w:pPr>
        <w:jc w:val="center"/>
        <w:rPr>
          <w:b/>
        </w:rPr>
      </w:pPr>
      <w:r w:rsidRPr="00E87B56">
        <w:rPr>
          <w:b/>
        </w:rPr>
        <w:t>Orgány komisie</w:t>
      </w:r>
    </w:p>
    <w:p w:rsidR="001649F7" w:rsidRDefault="001649F7" w:rsidP="001649F7">
      <w:pPr>
        <w:widowControl w:val="0"/>
        <w:adjustRightInd w:val="0"/>
        <w:jc w:val="both"/>
        <w:textAlignment w:val="baseline"/>
      </w:pPr>
    </w:p>
    <w:p w:rsidR="001649F7" w:rsidRDefault="00E24873" w:rsidP="00E24873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</w:pPr>
      <w:r w:rsidRPr="00E87B56">
        <w:t>Orgánmi komisie sú predseda komisie a tajomník komisie.</w:t>
      </w:r>
    </w:p>
    <w:p w:rsidR="001649F7" w:rsidRDefault="001649F7" w:rsidP="001649F7">
      <w:pPr>
        <w:widowControl w:val="0"/>
        <w:adjustRightInd w:val="0"/>
        <w:ind w:left="426"/>
        <w:jc w:val="both"/>
        <w:textAlignment w:val="baseline"/>
      </w:pPr>
    </w:p>
    <w:p w:rsidR="001649F7" w:rsidRDefault="00E24873" w:rsidP="00E24873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</w:pPr>
      <w:r w:rsidRPr="00E87B56">
        <w:t>Predsedom komisie pre výber projektov je člen predstavenstva SPPK poverený zastupovaním SPPK v Rade vlády pre OVP lebo ním poverený zástupca.</w:t>
      </w:r>
    </w:p>
    <w:p w:rsidR="001649F7" w:rsidRDefault="001649F7" w:rsidP="001649F7">
      <w:pPr>
        <w:pStyle w:val="Odsekzoznamu"/>
      </w:pPr>
    </w:p>
    <w:p w:rsidR="00E24873" w:rsidRPr="00E87B56" w:rsidRDefault="00E24873" w:rsidP="00E24873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</w:pPr>
      <w:r w:rsidRPr="00E87B56">
        <w:t xml:space="preserve">Predseda komisie zodpovedá za: </w:t>
      </w:r>
    </w:p>
    <w:p w:rsidR="00E24873" w:rsidRPr="00E87B56" w:rsidRDefault="00E24873" w:rsidP="001649F7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1134" w:firstLine="0"/>
        <w:jc w:val="both"/>
        <w:textAlignment w:val="baseline"/>
      </w:pPr>
      <w:r w:rsidRPr="00E87B56">
        <w:t>vedenie  zasadnutia komisie,</w:t>
      </w:r>
    </w:p>
    <w:p w:rsidR="00E24873" w:rsidRPr="00E87B56" w:rsidRDefault="00E24873" w:rsidP="001649F7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1134" w:firstLine="0"/>
        <w:jc w:val="both"/>
        <w:textAlignment w:val="baseline"/>
      </w:pPr>
      <w:r w:rsidRPr="00E87B56">
        <w:t>dodržiavanie štatútu a rokovacieho poriadku komisie,</w:t>
      </w:r>
    </w:p>
    <w:p w:rsidR="001649F7" w:rsidRDefault="00E24873" w:rsidP="00E24873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1134" w:firstLine="0"/>
        <w:jc w:val="both"/>
        <w:textAlignment w:val="baseline"/>
      </w:pPr>
      <w:r w:rsidRPr="00E87B56">
        <w:t>schválenie zápisnice a uznesenia komisie.</w:t>
      </w:r>
    </w:p>
    <w:p w:rsidR="001649F7" w:rsidRDefault="001649F7" w:rsidP="001649F7">
      <w:pPr>
        <w:widowControl w:val="0"/>
        <w:adjustRightInd w:val="0"/>
        <w:ind w:left="1134"/>
        <w:jc w:val="both"/>
        <w:textAlignment w:val="baseline"/>
      </w:pPr>
    </w:p>
    <w:p w:rsidR="001649F7" w:rsidRDefault="00E24873" w:rsidP="00E24873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</w:pPr>
      <w:r w:rsidRPr="00E87B56">
        <w:t xml:space="preserve">Tajomníkom komisie je zamestnanec SPPK zodpovedný za plnenie kompetencií SPPK v oblasti OVP. Tajomník komisie nemá hlasovacie právo. Tajomník komisie zvoláva zasadnutia komisie oficiálnym listom. Zodpovedá za prípravu a organizáciu zasadnutia komisie.  </w:t>
      </w:r>
      <w:r w:rsidR="001649F7">
        <w:br/>
      </w:r>
    </w:p>
    <w:p w:rsidR="00E24873" w:rsidRPr="00E87B56" w:rsidRDefault="00E24873" w:rsidP="00E24873">
      <w:pPr>
        <w:widowControl w:val="0"/>
        <w:numPr>
          <w:ilvl w:val="0"/>
          <w:numId w:val="14"/>
        </w:numPr>
        <w:adjustRightInd w:val="0"/>
        <w:ind w:left="426" w:hanging="426"/>
        <w:jc w:val="both"/>
        <w:textAlignment w:val="baseline"/>
      </w:pPr>
      <w:r w:rsidRPr="00E87B56">
        <w:t>Tajomník komisie vykonáva kontrolu administratívnej zhody projektov.</w:t>
      </w:r>
    </w:p>
    <w:p w:rsidR="00E24873" w:rsidRPr="00E87B56" w:rsidRDefault="00E24873" w:rsidP="00E24873">
      <w:pPr>
        <w:widowControl w:val="0"/>
        <w:adjustRightInd w:val="0"/>
        <w:jc w:val="both"/>
        <w:textAlignment w:val="baseline"/>
      </w:pP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Článok 6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>Zasadnutia komisie</w:t>
      </w:r>
    </w:p>
    <w:p w:rsidR="00E24873" w:rsidRPr="00E87B56" w:rsidRDefault="00E24873" w:rsidP="00E24873">
      <w:pPr>
        <w:rPr>
          <w:b/>
        </w:rPr>
      </w:pPr>
    </w:p>
    <w:p w:rsidR="004514A8" w:rsidRDefault="00E24873" w:rsidP="004514A8">
      <w:pPr>
        <w:widowControl w:val="0"/>
        <w:numPr>
          <w:ilvl w:val="0"/>
          <w:numId w:val="15"/>
        </w:numPr>
        <w:adjustRightInd w:val="0"/>
        <w:ind w:left="426" w:hanging="426"/>
        <w:jc w:val="both"/>
        <w:textAlignment w:val="baseline"/>
      </w:pPr>
      <w:r w:rsidRPr="00E87B56">
        <w:t xml:space="preserve">Zasadnutie komisie sa uskutoční po ukončení kontroly administratívnej zhody projektov.  </w:t>
      </w:r>
    </w:p>
    <w:p w:rsidR="004514A8" w:rsidRDefault="004514A8" w:rsidP="004514A8">
      <w:pPr>
        <w:widowControl w:val="0"/>
        <w:adjustRightInd w:val="0"/>
        <w:ind w:left="426"/>
        <w:jc w:val="both"/>
        <w:textAlignment w:val="baseline"/>
      </w:pPr>
    </w:p>
    <w:p w:rsidR="004514A8" w:rsidRDefault="00E24873" w:rsidP="004514A8">
      <w:pPr>
        <w:widowControl w:val="0"/>
        <w:numPr>
          <w:ilvl w:val="0"/>
          <w:numId w:val="15"/>
        </w:numPr>
        <w:adjustRightInd w:val="0"/>
        <w:ind w:left="426" w:hanging="426"/>
        <w:jc w:val="both"/>
        <w:textAlignment w:val="baseline"/>
      </w:pPr>
      <w:r w:rsidRPr="00E87B56">
        <w:t>Zasadnutie komisie pripravuje a zvoláva tajomník komisie najneskôr sedem kalendárnych dní pred jeho začiatkom.</w:t>
      </w:r>
    </w:p>
    <w:p w:rsidR="004514A8" w:rsidRDefault="004514A8" w:rsidP="004514A8">
      <w:pPr>
        <w:widowControl w:val="0"/>
        <w:adjustRightInd w:val="0"/>
        <w:jc w:val="both"/>
        <w:textAlignment w:val="baseline"/>
      </w:pPr>
    </w:p>
    <w:p w:rsidR="004514A8" w:rsidRDefault="00E24873" w:rsidP="004514A8">
      <w:pPr>
        <w:widowControl w:val="0"/>
        <w:numPr>
          <w:ilvl w:val="0"/>
          <w:numId w:val="15"/>
        </w:numPr>
        <w:adjustRightInd w:val="0"/>
        <w:ind w:left="426" w:hanging="426"/>
        <w:jc w:val="both"/>
        <w:textAlignment w:val="baseline"/>
      </w:pPr>
      <w:r w:rsidRPr="00E87B56">
        <w:t xml:space="preserve">Pokiaľ komisia nie je uznášaniaschopná podľa článku 7, tajomník komisie zvolá do piatich kalendárnych dní nové zasadnutie komisie. </w:t>
      </w:r>
    </w:p>
    <w:p w:rsidR="004514A8" w:rsidRDefault="004514A8" w:rsidP="004514A8">
      <w:pPr>
        <w:widowControl w:val="0"/>
        <w:adjustRightInd w:val="0"/>
        <w:jc w:val="both"/>
        <w:textAlignment w:val="baseline"/>
      </w:pPr>
    </w:p>
    <w:p w:rsidR="00E24873" w:rsidRPr="00E87B56" w:rsidRDefault="00E24873" w:rsidP="004514A8">
      <w:pPr>
        <w:widowControl w:val="0"/>
        <w:numPr>
          <w:ilvl w:val="0"/>
          <w:numId w:val="15"/>
        </w:numPr>
        <w:adjustRightInd w:val="0"/>
        <w:ind w:left="426" w:hanging="426"/>
        <w:jc w:val="both"/>
        <w:textAlignment w:val="baseline"/>
      </w:pPr>
      <w:r w:rsidRPr="00E87B56">
        <w:t>Rokovania komisie sa zúčastňuje zapisovateľ komisie, ktorého určí predseda komisie. Zapisovateľ komisie nie je členom komisie. Na každom zasadnutí komisie sa z jej členov určí jeden overovateľ zápisnice.</w:t>
      </w:r>
    </w:p>
    <w:p w:rsidR="00E24873" w:rsidRPr="00E87B56" w:rsidRDefault="00E24873" w:rsidP="00E24873">
      <w:pPr>
        <w:widowControl w:val="0"/>
        <w:adjustRightInd w:val="0"/>
        <w:spacing w:line="360" w:lineRule="auto"/>
        <w:ind w:left="360"/>
        <w:jc w:val="both"/>
        <w:textAlignment w:val="baseline"/>
      </w:pP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Článok 7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 xml:space="preserve">Uznášaniaschopnosť komisie </w:t>
      </w:r>
    </w:p>
    <w:p w:rsidR="00E24873" w:rsidRPr="00E87B56" w:rsidRDefault="00E24873" w:rsidP="00E24873">
      <w:pPr>
        <w:jc w:val="center"/>
        <w:rPr>
          <w:b/>
        </w:rPr>
      </w:pPr>
    </w:p>
    <w:p w:rsidR="00E24873" w:rsidRPr="004514A8" w:rsidRDefault="00E24873" w:rsidP="004514A8">
      <w:pPr>
        <w:widowControl w:val="0"/>
        <w:numPr>
          <w:ilvl w:val="0"/>
          <w:numId w:val="17"/>
        </w:numPr>
        <w:adjustRightInd w:val="0"/>
        <w:ind w:left="426" w:hanging="426"/>
        <w:jc w:val="both"/>
        <w:textAlignment w:val="baseline"/>
      </w:pPr>
      <w:r w:rsidRPr="00E87B56">
        <w:t>Komisia je uznášaniaschopná, ak sa zasadnutia zúčastní nadpolovičná väčšina členov z</w:t>
      </w:r>
      <w:r w:rsidR="004514A8">
        <w:t> </w:t>
      </w:r>
      <w:r w:rsidRPr="00E87B56">
        <w:t>určeného</w:t>
      </w:r>
      <w:r w:rsidR="004514A8">
        <w:t xml:space="preserve"> </w:t>
      </w:r>
      <w:r w:rsidRPr="00E87B56">
        <w:t>počtu členov zo zástupcov minimálne troch rôznych inštitúcií definovaných v článku  3 bodoch 3 a 4 tohto štatútu.</w:t>
      </w:r>
    </w:p>
    <w:p w:rsidR="00E24873" w:rsidRPr="00E87B56" w:rsidRDefault="00E24873" w:rsidP="00E24873">
      <w:pPr>
        <w:spacing w:line="360" w:lineRule="auto"/>
        <w:rPr>
          <w:b/>
        </w:rPr>
      </w:pP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Článok 8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>Všeobecné pravidlá pre prijatie uznesenia</w:t>
      </w:r>
    </w:p>
    <w:p w:rsidR="00E24873" w:rsidRPr="00E87B56" w:rsidRDefault="00E24873" w:rsidP="00E24873">
      <w:pPr>
        <w:rPr>
          <w:b/>
        </w:rPr>
      </w:pPr>
    </w:p>
    <w:p w:rsidR="004514A8" w:rsidRDefault="00E24873" w:rsidP="004514A8">
      <w:pPr>
        <w:widowControl w:val="0"/>
        <w:numPr>
          <w:ilvl w:val="0"/>
          <w:numId w:val="16"/>
        </w:numPr>
        <w:adjustRightInd w:val="0"/>
        <w:ind w:left="426" w:hanging="426"/>
        <w:jc w:val="both"/>
        <w:textAlignment w:val="baseline"/>
      </w:pPr>
      <w:r w:rsidRPr="00E87B56">
        <w:t xml:space="preserve">Na schválenie uznesenia je potrebná nadpolovičná väčšina hlasov prítomných  členov komisie s platným hlasovacím právom. V prípade rovnosti hlasov je rozhodujúci hlas predsedu komisie alebo ním povereného zástupcu.  </w:t>
      </w:r>
    </w:p>
    <w:p w:rsidR="004514A8" w:rsidRDefault="004514A8" w:rsidP="004514A8">
      <w:pPr>
        <w:widowControl w:val="0"/>
        <w:adjustRightInd w:val="0"/>
        <w:ind w:left="426"/>
        <w:jc w:val="both"/>
        <w:textAlignment w:val="baseline"/>
      </w:pPr>
    </w:p>
    <w:p w:rsidR="00E24873" w:rsidRPr="00E87B56" w:rsidRDefault="00E24873" w:rsidP="004514A8">
      <w:pPr>
        <w:widowControl w:val="0"/>
        <w:numPr>
          <w:ilvl w:val="0"/>
          <w:numId w:val="16"/>
        </w:numPr>
        <w:adjustRightInd w:val="0"/>
        <w:ind w:left="426" w:hanging="426"/>
        <w:jc w:val="both"/>
        <w:textAlignment w:val="baseline"/>
      </w:pPr>
      <w:r w:rsidRPr="00E87B56">
        <w:t xml:space="preserve">Člen komisie, ktorý nesúhlasí s uznesením, má právo podať stanovisko, v ktorom uvedie svoj odlišný názor a jeho zdôvodnenie. Toto stanovisko bude priložené k uzneseniu. </w:t>
      </w:r>
    </w:p>
    <w:p w:rsidR="00E24873" w:rsidRPr="00E87B56" w:rsidRDefault="00E24873" w:rsidP="00E24873">
      <w:pPr>
        <w:spacing w:line="360" w:lineRule="auto"/>
        <w:jc w:val="both"/>
        <w:outlineLvl w:val="0"/>
        <w:rPr>
          <w:b/>
        </w:rPr>
      </w:pPr>
    </w:p>
    <w:p w:rsidR="000635FA" w:rsidRDefault="000635FA" w:rsidP="00E24873">
      <w:pPr>
        <w:jc w:val="center"/>
        <w:rPr>
          <w:b/>
        </w:rPr>
      </w:pPr>
    </w:p>
    <w:p w:rsidR="000635FA" w:rsidRDefault="000635FA" w:rsidP="00E24873">
      <w:pPr>
        <w:jc w:val="center"/>
        <w:rPr>
          <w:b/>
        </w:rPr>
      </w:pPr>
    </w:p>
    <w:p w:rsidR="000635FA" w:rsidRDefault="000635FA" w:rsidP="00E24873">
      <w:pPr>
        <w:jc w:val="center"/>
        <w:rPr>
          <w:b/>
        </w:rPr>
      </w:pP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lastRenderedPageBreak/>
        <w:t>Článok 9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>Záznamy o zasadnutí</w:t>
      </w:r>
    </w:p>
    <w:p w:rsidR="00E24873" w:rsidRPr="00E87B56" w:rsidRDefault="00E24873" w:rsidP="00E24873">
      <w:pPr>
        <w:rPr>
          <w:b/>
        </w:rPr>
      </w:pPr>
    </w:p>
    <w:p w:rsidR="004514A8" w:rsidRDefault="00E24873" w:rsidP="00E24873">
      <w:pPr>
        <w:widowControl w:val="0"/>
        <w:numPr>
          <w:ilvl w:val="0"/>
          <w:numId w:val="18"/>
        </w:numPr>
        <w:adjustRightInd w:val="0"/>
        <w:ind w:left="426" w:hanging="426"/>
        <w:jc w:val="both"/>
        <w:textAlignment w:val="baseline"/>
      </w:pPr>
      <w:r w:rsidRPr="00E87B56">
        <w:t>Z rokovania komisie sa vyhotovuje zápisnica zo zasadnutia komisie, ktorej prílohu tvorí prezenčná listina, výsledok hodnotenia a uznesenie.</w:t>
      </w:r>
      <w:r w:rsidR="004514A8">
        <w:t xml:space="preserve"> </w:t>
      </w:r>
    </w:p>
    <w:p w:rsidR="004514A8" w:rsidRDefault="004514A8" w:rsidP="004514A8">
      <w:pPr>
        <w:widowControl w:val="0"/>
        <w:adjustRightInd w:val="0"/>
        <w:ind w:left="426"/>
        <w:jc w:val="both"/>
        <w:textAlignment w:val="baseline"/>
      </w:pPr>
    </w:p>
    <w:p w:rsidR="00E24873" w:rsidRPr="00E87B56" w:rsidRDefault="00E24873" w:rsidP="00E24873">
      <w:pPr>
        <w:widowControl w:val="0"/>
        <w:numPr>
          <w:ilvl w:val="0"/>
          <w:numId w:val="18"/>
        </w:numPr>
        <w:adjustRightInd w:val="0"/>
        <w:ind w:left="426" w:hanging="426"/>
        <w:jc w:val="both"/>
        <w:textAlignment w:val="baseline"/>
      </w:pPr>
      <w:r w:rsidRPr="00E87B56">
        <w:t xml:space="preserve">Zápisnicu a uznesenie podpisuje predseda komisie alebo ním poverený zástupca. </w:t>
      </w:r>
    </w:p>
    <w:p w:rsidR="00E24873" w:rsidRPr="00E87B56" w:rsidRDefault="00E24873" w:rsidP="00E24873">
      <w:pPr>
        <w:jc w:val="center"/>
        <w:outlineLvl w:val="0"/>
        <w:rPr>
          <w:b/>
        </w:rPr>
      </w:pPr>
    </w:p>
    <w:p w:rsidR="00E24873" w:rsidRPr="00E87B56" w:rsidRDefault="00E24873" w:rsidP="00E24873">
      <w:pPr>
        <w:jc w:val="center"/>
        <w:outlineLvl w:val="0"/>
        <w:rPr>
          <w:b/>
        </w:rPr>
      </w:pPr>
      <w:r w:rsidRPr="00E87B56">
        <w:rPr>
          <w:b/>
        </w:rPr>
        <w:t>Článok 10</w:t>
      </w:r>
    </w:p>
    <w:p w:rsidR="00E24873" w:rsidRPr="00E87B56" w:rsidRDefault="00E24873" w:rsidP="00E24873">
      <w:pPr>
        <w:jc w:val="center"/>
        <w:rPr>
          <w:b/>
        </w:rPr>
      </w:pPr>
      <w:r w:rsidRPr="00E87B56">
        <w:rPr>
          <w:b/>
        </w:rPr>
        <w:t>Účinnosť</w:t>
      </w:r>
    </w:p>
    <w:p w:rsidR="00E24873" w:rsidRPr="00E87B56" w:rsidRDefault="00E24873" w:rsidP="00E24873">
      <w:pPr>
        <w:rPr>
          <w:b/>
        </w:rPr>
      </w:pPr>
    </w:p>
    <w:p w:rsidR="00E87B56" w:rsidRPr="00712642" w:rsidRDefault="00841595" w:rsidP="004514A8">
      <w:pPr>
        <w:numPr>
          <w:ilvl w:val="0"/>
          <w:numId w:val="19"/>
        </w:numPr>
        <w:ind w:left="426" w:hanging="426"/>
        <w:outlineLvl w:val="0"/>
      </w:pPr>
      <w:r>
        <w:t>Š</w:t>
      </w:r>
      <w:r w:rsidR="00E24873" w:rsidRPr="00712642">
        <w:t>tatút</w:t>
      </w:r>
      <w:r w:rsidR="00E87B56" w:rsidRPr="00712642">
        <w:t xml:space="preserve"> </w:t>
      </w:r>
      <w:r w:rsidR="00821538" w:rsidRPr="00712642">
        <w:t xml:space="preserve">komisie pre udelenie oprávnenia SOŠ používať popri svojom názve aj označenie Centrum </w:t>
      </w:r>
      <w:r w:rsidR="00E87B56" w:rsidRPr="00712642">
        <w:t>OVP nadobúdajú platnosť a účinnosť dňom ich schválenia štatutárom SPPK</w:t>
      </w:r>
      <w:r w:rsidR="00712642">
        <w:t xml:space="preserve">. </w:t>
      </w:r>
    </w:p>
    <w:p w:rsidR="00E24873" w:rsidRPr="00E87B56" w:rsidRDefault="00E24873" w:rsidP="00E24873"/>
    <w:p w:rsidR="00E24873" w:rsidRPr="00E87B56" w:rsidRDefault="00E24873" w:rsidP="00E24873">
      <w:pPr>
        <w:ind w:left="709"/>
      </w:pPr>
    </w:p>
    <w:p w:rsidR="00E24873" w:rsidRPr="00E87B56" w:rsidRDefault="00E24873" w:rsidP="00E24873">
      <w:pPr>
        <w:pStyle w:val="PODN"/>
        <w:rPr>
          <w:rFonts w:ascii="Times New Roman" w:hAnsi="Times New Roman"/>
          <w:sz w:val="24"/>
          <w:szCs w:val="24"/>
        </w:rPr>
      </w:pPr>
    </w:p>
    <w:p w:rsidR="00221207" w:rsidRPr="00E87B56" w:rsidRDefault="00221207" w:rsidP="00221207">
      <w:pPr>
        <w:pStyle w:val="PODN"/>
        <w:rPr>
          <w:rFonts w:ascii="Times New Roman" w:hAnsi="Times New Roman"/>
          <w:sz w:val="24"/>
          <w:szCs w:val="24"/>
        </w:rPr>
      </w:pPr>
      <w:bookmarkStart w:id="0" w:name="_Hlk515436353"/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361"/>
        <w:gridCol w:w="4538"/>
        <w:gridCol w:w="8"/>
      </w:tblGrid>
      <w:tr w:rsidR="00221207" w:rsidRPr="00E87B56" w:rsidTr="00972A8F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18"/>
        </w:trPr>
        <w:tc>
          <w:tcPr>
            <w:tcW w:w="4361" w:type="dxa"/>
          </w:tcPr>
          <w:p w:rsidR="00221207" w:rsidRPr="00E87B56" w:rsidRDefault="00221207" w:rsidP="00972A8F">
            <w:pPr>
              <w:pStyle w:val="PODN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7B56">
              <w:rPr>
                <w:rFonts w:ascii="Times New Roman" w:hAnsi="Times New Roman"/>
                <w:b w:val="0"/>
                <w:sz w:val="24"/>
                <w:szCs w:val="24"/>
              </w:rPr>
              <w:t xml:space="preserve">   V Bratislave, dňa 30.5.2018</w:t>
            </w:r>
          </w:p>
        </w:tc>
        <w:tc>
          <w:tcPr>
            <w:tcW w:w="4538" w:type="dxa"/>
          </w:tcPr>
          <w:p w:rsidR="00221207" w:rsidRPr="00A86647" w:rsidRDefault="00221207" w:rsidP="00972A8F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21207" w:rsidRPr="00A86647" w:rsidRDefault="00221207" w:rsidP="00972A8F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21207" w:rsidRPr="00A86647" w:rsidRDefault="00221207" w:rsidP="00972A8F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21207" w:rsidRPr="00A86647" w:rsidRDefault="00221207" w:rsidP="00972A8F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21207" w:rsidRPr="00E87B56" w:rsidTr="00972A8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61" w:type="dxa"/>
          </w:tcPr>
          <w:p w:rsidR="00221207" w:rsidRPr="00E87B56" w:rsidRDefault="00221207" w:rsidP="00972A8F">
            <w:pPr>
              <w:pStyle w:val="PODN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</w:tcPr>
          <w:p w:rsidR="00221207" w:rsidRPr="00E87B56" w:rsidRDefault="00221207" w:rsidP="00972A8F">
            <w:pPr>
              <w:ind w:left="567"/>
              <w:jc w:val="center"/>
              <w:rPr>
                <w:bCs/>
                <w:noProof/>
                <w:kern w:val="28"/>
                <w:lang w:eastAsia="en-US"/>
              </w:rPr>
            </w:pPr>
            <w:r>
              <w:rPr>
                <w:bCs/>
                <w:noProof/>
                <w:kern w:val="28"/>
                <w:lang w:eastAsia="en-US"/>
              </w:rPr>
              <w:t xml:space="preserve">Bc. </w:t>
            </w:r>
            <w:r w:rsidRPr="00E87B56">
              <w:rPr>
                <w:bCs/>
                <w:noProof/>
                <w:kern w:val="28"/>
                <w:lang w:eastAsia="en-US"/>
              </w:rPr>
              <w:t>Emil Macho</w:t>
            </w:r>
            <w:r w:rsidR="0044329B">
              <w:rPr>
                <w:bCs/>
                <w:noProof/>
                <w:kern w:val="28"/>
                <w:lang w:eastAsia="en-US"/>
              </w:rPr>
              <w:t>, v.r.</w:t>
            </w:r>
          </w:p>
          <w:p w:rsidR="00221207" w:rsidRPr="00E87B56" w:rsidRDefault="00221207" w:rsidP="00972A8F">
            <w:pPr>
              <w:ind w:left="567"/>
              <w:jc w:val="center"/>
            </w:pPr>
            <w:r w:rsidRPr="00E87B56">
              <w:rPr>
                <w:bCs/>
                <w:noProof/>
                <w:kern w:val="28"/>
                <w:lang w:eastAsia="en-US"/>
              </w:rPr>
              <w:t xml:space="preserve">Predseda SPPK </w:t>
            </w:r>
          </w:p>
          <w:p w:rsidR="00221207" w:rsidRPr="00E87B56" w:rsidRDefault="00221207" w:rsidP="00972A8F">
            <w:pPr>
              <w:ind w:left="567"/>
            </w:pPr>
          </w:p>
        </w:tc>
      </w:tr>
      <w:bookmarkEnd w:id="0"/>
    </w:tbl>
    <w:p w:rsidR="005E28EF" w:rsidRPr="00E87B56" w:rsidRDefault="005E28EF" w:rsidP="00F170E4">
      <w:pPr>
        <w:tabs>
          <w:tab w:val="left" w:pos="2640"/>
        </w:tabs>
        <w:sectPr w:rsidR="005E28EF" w:rsidRPr="00E87B56" w:rsidSect="000635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3" w:right="851" w:bottom="1276" w:left="1418" w:header="737" w:footer="567" w:gutter="0"/>
          <w:cols w:space="708"/>
          <w:titlePg/>
          <w:docGrid w:linePitch="360"/>
        </w:sectPr>
      </w:pPr>
    </w:p>
    <w:p w:rsidR="00E2611B" w:rsidRPr="00E87B56" w:rsidRDefault="00E2611B" w:rsidP="00E24873"/>
    <w:sectPr w:rsidR="00E2611B" w:rsidRPr="00E87B56" w:rsidSect="008371C3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D1" w:rsidRDefault="002711D1">
      <w:r>
        <w:separator/>
      </w:r>
    </w:p>
  </w:endnote>
  <w:endnote w:type="continuationSeparator" w:id="0">
    <w:p w:rsidR="002711D1" w:rsidRDefault="0027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52" w:rsidRPr="00BE082E" w:rsidRDefault="00C87952" w:rsidP="008371C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3" w:rsidRDefault="008371C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D1" w:rsidRDefault="002711D1">
      <w:r>
        <w:separator/>
      </w:r>
    </w:p>
  </w:footnote>
  <w:footnote w:type="continuationSeparator" w:id="0">
    <w:p w:rsidR="002711D1" w:rsidRDefault="00271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CB" w:rsidRDefault="00BE082E">
    <w:pPr>
      <w:pStyle w:val="Hlavika"/>
    </w:pPr>
    <w:r>
      <w:rPr>
        <w:noProof/>
      </w:rPr>
      <w:pict>
        <v:line id="_x0000_s2077" style="position:absolute;z-index:251658752;mso-position-horizontal-relative:page;mso-position-vertical-relative:page" from="70.9pt,73.7pt" to="554.2pt,73.7pt" wrapcoords="1 1 645 1 645 1 1 1 1 1" strokecolor="#333">
          <w10:wrap type="tight" anchorx="page" anchory="page"/>
          <w10:anchorlock/>
        </v:line>
      </w:pict>
    </w:r>
    <w:r w:rsidR="00BA0B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6.2pt;margin-top:37.65pt;width:252pt;height:45pt;z-index:-251658752;mso-position-horizontal-relative:page;mso-position-vertical-relative:page" filled="f" stroked="f">
          <v:textbox style="mso-next-textbox:#_x0000_s2069" inset="0,0,0,0">
            <w:txbxContent>
              <w:p w:rsidR="00BA0B32" w:rsidRPr="00BA0B32" w:rsidRDefault="00BA0B32" w:rsidP="008371C3">
                <w:pPr>
                  <w:spacing w:after="120" w:line="180" w:lineRule="exact"/>
                  <w:jc w:val="center"/>
                  <w:rPr>
                    <w:w w:val="97"/>
                  </w:rPr>
                </w:pPr>
                <w:r w:rsidRPr="00BA0B32">
                  <w:rPr>
                    <w:w w:val="97"/>
                  </w:rPr>
                  <w:t>Slovenská poľnohospodárska a potravinárska komora</w:t>
                </w:r>
              </w:p>
              <w:p w:rsidR="00BA0B32" w:rsidRPr="00BA0B32" w:rsidRDefault="00BA0B32" w:rsidP="008371C3">
                <w:pPr>
                  <w:spacing w:after="120" w:line="180" w:lineRule="exact"/>
                  <w:jc w:val="center"/>
                  <w:rPr>
                    <w:w w:val="97"/>
                  </w:rPr>
                </w:pPr>
                <w:r w:rsidRPr="00BA0B32">
                  <w:rPr>
                    <w:w w:val="97"/>
                  </w:rPr>
                  <w:t>Záhradnícka 21, 811 07 Bratislava</w:t>
                </w:r>
              </w:p>
            </w:txbxContent>
          </v:textbox>
          <w10:wrap anchorx="page" anchory="page"/>
          <w10:anchorlock/>
        </v:shape>
      </w:pict>
    </w:r>
    <w:r w:rsidR="0044329B"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6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3" w:rsidRDefault="008371C3">
    <w:pPr>
      <w:pStyle w:val="Hlavik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CB" w:rsidRDefault="00B042C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0E2"/>
    <w:multiLevelType w:val="hybridMultilevel"/>
    <w:tmpl w:val="67BE3CD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418B4"/>
    <w:multiLevelType w:val="multilevel"/>
    <w:tmpl w:val="174E7604"/>
    <w:lvl w:ilvl="0">
      <w:start w:val="1"/>
      <w:numFmt w:val="none"/>
      <w:pStyle w:val="opnadpisclanku"/>
      <w:suff w:val="nothing"/>
      <w:lvlText w:val="%1"/>
      <w:lvlJc w:val="center"/>
      <w:pPr>
        <w:ind w:left="0" w:firstLine="0"/>
      </w:pPr>
    </w:lvl>
    <w:lvl w:ilvl="1">
      <w:start w:val="1"/>
      <w:numFmt w:val="decimal"/>
      <w:pStyle w:val="opcislo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Letter"/>
      <w:pStyle w:val="opbod"/>
      <w:lvlText w:val="%3)"/>
      <w:lvlJc w:val="left"/>
      <w:pPr>
        <w:tabs>
          <w:tab w:val="num" w:pos="1440"/>
        </w:tabs>
        <w:ind w:left="144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C1FAD"/>
    <w:multiLevelType w:val="hybridMultilevel"/>
    <w:tmpl w:val="090A2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7A6"/>
    <w:multiLevelType w:val="hybridMultilevel"/>
    <w:tmpl w:val="8118F6A0"/>
    <w:lvl w:ilvl="0" w:tplc="1640E4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965DA6"/>
    <w:multiLevelType w:val="hybridMultilevel"/>
    <w:tmpl w:val="EED05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3065"/>
    <w:multiLevelType w:val="hybridMultilevel"/>
    <w:tmpl w:val="90C07EF4"/>
    <w:lvl w:ilvl="0" w:tplc="19B8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4233124"/>
    <w:multiLevelType w:val="hybridMultilevel"/>
    <w:tmpl w:val="904AF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63B5"/>
    <w:multiLevelType w:val="hybridMultilevel"/>
    <w:tmpl w:val="E3B066C2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522B63"/>
    <w:multiLevelType w:val="hybridMultilevel"/>
    <w:tmpl w:val="06625BAE"/>
    <w:lvl w:ilvl="0" w:tplc="6FC67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77A3"/>
    <w:multiLevelType w:val="multilevel"/>
    <w:tmpl w:val="7860A0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10">
    <w:nsid w:val="37E80FDD"/>
    <w:multiLevelType w:val="hybridMultilevel"/>
    <w:tmpl w:val="8548B4C4"/>
    <w:lvl w:ilvl="0" w:tplc="889C5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264FC"/>
    <w:multiLevelType w:val="hybridMultilevel"/>
    <w:tmpl w:val="5DC49224"/>
    <w:lvl w:ilvl="0" w:tplc="1EA85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E79E0"/>
    <w:multiLevelType w:val="hybridMultilevel"/>
    <w:tmpl w:val="CCC2EE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A7962"/>
    <w:multiLevelType w:val="hybridMultilevel"/>
    <w:tmpl w:val="3168C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C1746"/>
    <w:multiLevelType w:val="hybridMultilevel"/>
    <w:tmpl w:val="3A8A0AE2"/>
    <w:lvl w:ilvl="0" w:tplc="E03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A71D7"/>
    <w:multiLevelType w:val="hybridMultilevel"/>
    <w:tmpl w:val="E416C9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C0250"/>
    <w:multiLevelType w:val="hybridMultilevel"/>
    <w:tmpl w:val="0C6E2DB4"/>
    <w:lvl w:ilvl="0" w:tplc="B136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67325"/>
    <w:multiLevelType w:val="hybridMultilevel"/>
    <w:tmpl w:val="533EFA8A"/>
    <w:lvl w:ilvl="0" w:tplc="88780162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0FD7"/>
    <w:multiLevelType w:val="hybridMultilevel"/>
    <w:tmpl w:val="82C2EEB4"/>
    <w:lvl w:ilvl="0" w:tplc="BFBC18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17"/>
  </w:num>
  <w:num w:numId="12">
    <w:abstractNumId w:val="6"/>
  </w:num>
  <w:num w:numId="13">
    <w:abstractNumId w:val="7"/>
  </w:num>
  <w:num w:numId="14">
    <w:abstractNumId w:val="8"/>
  </w:num>
  <w:num w:numId="15">
    <w:abstractNumId w:val="5"/>
  </w:num>
  <w:num w:numId="16">
    <w:abstractNumId w:val="11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3933"/>
    <w:rsid w:val="000332FA"/>
    <w:rsid w:val="00040274"/>
    <w:rsid w:val="00052A46"/>
    <w:rsid w:val="000635FA"/>
    <w:rsid w:val="000B4231"/>
    <w:rsid w:val="001075AA"/>
    <w:rsid w:val="001649F7"/>
    <w:rsid w:val="001A7EEC"/>
    <w:rsid w:val="001E5A58"/>
    <w:rsid w:val="001F5DCE"/>
    <w:rsid w:val="00221207"/>
    <w:rsid w:val="00224948"/>
    <w:rsid w:val="002266C7"/>
    <w:rsid w:val="0024424A"/>
    <w:rsid w:val="002711D1"/>
    <w:rsid w:val="0031362F"/>
    <w:rsid w:val="00384B69"/>
    <w:rsid w:val="003A2AC2"/>
    <w:rsid w:val="00441970"/>
    <w:rsid w:val="0044329B"/>
    <w:rsid w:val="0044609E"/>
    <w:rsid w:val="004514A8"/>
    <w:rsid w:val="00476E3F"/>
    <w:rsid w:val="00500B36"/>
    <w:rsid w:val="0051058E"/>
    <w:rsid w:val="00532AE3"/>
    <w:rsid w:val="005468D0"/>
    <w:rsid w:val="005E28EF"/>
    <w:rsid w:val="0066706C"/>
    <w:rsid w:val="00676E1C"/>
    <w:rsid w:val="006C094F"/>
    <w:rsid w:val="006D3933"/>
    <w:rsid w:val="006F513B"/>
    <w:rsid w:val="00712642"/>
    <w:rsid w:val="0072411B"/>
    <w:rsid w:val="007E3282"/>
    <w:rsid w:val="00821538"/>
    <w:rsid w:val="008371C3"/>
    <w:rsid w:val="00841595"/>
    <w:rsid w:val="008A3736"/>
    <w:rsid w:val="008E02A3"/>
    <w:rsid w:val="00910FB9"/>
    <w:rsid w:val="00972A8F"/>
    <w:rsid w:val="00973FDD"/>
    <w:rsid w:val="00975F6F"/>
    <w:rsid w:val="009A12BC"/>
    <w:rsid w:val="009D538B"/>
    <w:rsid w:val="00A26CFC"/>
    <w:rsid w:val="00A366A5"/>
    <w:rsid w:val="00A64BE6"/>
    <w:rsid w:val="00A86647"/>
    <w:rsid w:val="00A95188"/>
    <w:rsid w:val="00B042CB"/>
    <w:rsid w:val="00B25201"/>
    <w:rsid w:val="00BA0B32"/>
    <w:rsid w:val="00BC4B43"/>
    <w:rsid w:val="00BE082E"/>
    <w:rsid w:val="00BE11A0"/>
    <w:rsid w:val="00C4325F"/>
    <w:rsid w:val="00C64463"/>
    <w:rsid w:val="00C87952"/>
    <w:rsid w:val="00CC3A74"/>
    <w:rsid w:val="00CE2B89"/>
    <w:rsid w:val="00D1448A"/>
    <w:rsid w:val="00D46017"/>
    <w:rsid w:val="00DB2D2E"/>
    <w:rsid w:val="00E0063D"/>
    <w:rsid w:val="00E24873"/>
    <w:rsid w:val="00E2611B"/>
    <w:rsid w:val="00E32470"/>
    <w:rsid w:val="00E6193E"/>
    <w:rsid w:val="00E63A90"/>
    <w:rsid w:val="00E87B56"/>
    <w:rsid w:val="00EA7DCF"/>
    <w:rsid w:val="00EC2D70"/>
    <w:rsid w:val="00EC356E"/>
    <w:rsid w:val="00ED4AD5"/>
    <w:rsid w:val="00F01607"/>
    <w:rsid w:val="00F0281A"/>
    <w:rsid w:val="00F170E4"/>
    <w:rsid w:val="00F32445"/>
    <w:rsid w:val="00F739BA"/>
    <w:rsid w:val="00F87399"/>
    <w:rsid w:val="00FB5EF3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2487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1E5A58"/>
    <w:pPr>
      <w:jc w:val="both"/>
    </w:pPr>
    <w:rPr>
      <w:bCs/>
      <w:sz w:val="28"/>
      <w:szCs w:val="20"/>
    </w:rPr>
  </w:style>
  <w:style w:type="character" w:customStyle="1" w:styleId="Zkladntext2Char">
    <w:name w:val="Základný text 2 Char"/>
    <w:link w:val="Zkladntext2"/>
    <w:rsid w:val="001E5A58"/>
    <w:rPr>
      <w:bCs/>
      <w:sz w:val="28"/>
    </w:rPr>
  </w:style>
  <w:style w:type="paragraph" w:styleId="Zkladntext3">
    <w:name w:val="Body Text 3"/>
    <w:basedOn w:val="Normlny"/>
    <w:link w:val="Zkladntext3Char"/>
    <w:rsid w:val="001E5A58"/>
    <w:pPr>
      <w:jc w:val="both"/>
    </w:pPr>
    <w:rPr>
      <w:szCs w:val="20"/>
    </w:rPr>
  </w:style>
  <w:style w:type="character" w:customStyle="1" w:styleId="Zkladntext3Char">
    <w:name w:val="Základný text 3 Char"/>
    <w:link w:val="Zkladntext3"/>
    <w:rsid w:val="001E5A58"/>
    <w:rPr>
      <w:sz w:val="24"/>
    </w:rPr>
  </w:style>
  <w:style w:type="paragraph" w:customStyle="1" w:styleId="PODN">
    <w:name w:val="PODN"/>
    <w:basedOn w:val="Nadpis2"/>
    <w:rsid w:val="00E24873"/>
    <w:pPr>
      <w:widowControl w:val="0"/>
      <w:adjustRightInd w:val="0"/>
      <w:spacing w:before="0" w:after="0" w:line="360" w:lineRule="atLeast"/>
      <w:textAlignment w:val="baseline"/>
    </w:pPr>
    <w:rPr>
      <w:rFonts w:ascii="Century Gothic" w:hAnsi="Century Gothic"/>
      <w:i w:val="0"/>
      <w:iCs w:val="0"/>
      <w:noProof/>
      <w:kern w:val="28"/>
      <w:sz w:val="20"/>
      <w:szCs w:val="20"/>
      <w:lang w:eastAsia="en-US"/>
    </w:rPr>
  </w:style>
  <w:style w:type="paragraph" w:customStyle="1" w:styleId="opbod">
    <w:name w:val="opbod"/>
    <w:basedOn w:val="Normlny"/>
    <w:rsid w:val="00E24873"/>
    <w:pPr>
      <w:numPr>
        <w:ilvl w:val="2"/>
        <w:numId w:val="4"/>
      </w:numPr>
    </w:pPr>
    <w:rPr>
      <w:sz w:val="20"/>
      <w:szCs w:val="20"/>
    </w:rPr>
  </w:style>
  <w:style w:type="paragraph" w:customStyle="1" w:styleId="opcislo">
    <w:name w:val="opcislo"/>
    <w:basedOn w:val="Normlny"/>
    <w:rsid w:val="00E24873"/>
    <w:pPr>
      <w:numPr>
        <w:ilvl w:val="1"/>
        <w:numId w:val="4"/>
      </w:numPr>
      <w:spacing w:before="120"/>
    </w:pPr>
    <w:rPr>
      <w:sz w:val="20"/>
      <w:szCs w:val="20"/>
    </w:rPr>
  </w:style>
  <w:style w:type="paragraph" w:customStyle="1" w:styleId="opnadpisclanku">
    <w:name w:val="opnadpisclanku"/>
    <w:basedOn w:val="Normlny"/>
    <w:rsid w:val="00E24873"/>
    <w:pPr>
      <w:keepNext/>
      <w:numPr>
        <w:numId w:val="4"/>
      </w:numPr>
      <w:jc w:val="center"/>
    </w:pPr>
    <w:rPr>
      <w:sz w:val="22"/>
      <w:szCs w:val="22"/>
    </w:rPr>
  </w:style>
  <w:style w:type="paragraph" w:styleId="Bezriadkovania">
    <w:name w:val="No Spacing"/>
    <w:uiPriority w:val="1"/>
    <w:qFormat/>
    <w:rsid w:val="00E2487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semiHidden/>
    <w:rsid w:val="00E2487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rsid w:val="00D144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1448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2153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SPPK</cp:lastModifiedBy>
  <cp:revision>2</cp:revision>
  <cp:lastPrinted>2018-05-30T08:48:00Z</cp:lastPrinted>
  <dcterms:created xsi:type="dcterms:W3CDTF">2018-06-04T04:24:00Z</dcterms:created>
  <dcterms:modified xsi:type="dcterms:W3CDTF">2018-06-04T04:24:00Z</dcterms:modified>
</cp:coreProperties>
</file>