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DB" w:rsidRDefault="001A13DB" w:rsidP="00730FFC">
      <w:pPr>
        <w:jc w:val="center"/>
        <w:outlineLvl w:val="0"/>
        <w:rPr>
          <w:b/>
        </w:rPr>
      </w:pPr>
    </w:p>
    <w:p w:rsidR="001A13DB" w:rsidRDefault="001A13DB" w:rsidP="00730FFC">
      <w:pPr>
        <w:jc w:val="center"/>
        <w:outlineLvl w:val="0"/>
        <w:rPr>
          <w:b/>
        </w:rPr>
      </w:pPr>
    </w:p>
    <w:p w:rsidR="001A13DB" w:rsidRDefault="001A13DB" w:rsidP="00730FFC">
      <w:pPr>
        <w:jc w:val="center"/>
        <w:outlineLvl w:val="0"/>
        <w:rPr>
          <w:b/>
        </w:rPr>
      </w:pP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ROKOVACÍ PORIADOK</w:t>
      </w:r>
      <w:r>
        <w:rPr>
          <w:b/>
        </w:rPr>
        <w:br/>
      </w:r>
    </w:p>
    <w:p w:rsidR="00730FFC" w:rsidRPr="00E87B56" w:rsidRDefault="00730FFC" w:rsidP="00730FFC">
      <w:pPr>
        <w:jc w:val="center"/>
        <w:outlineLvl w:val="0"/>
        <w:rPr>
          <w:b/>
        </w:rPr>
      </w:pPr>
      <w:r w:rsidRPr="00E87B56">
        <w:rPr>
          <w:b/>
        </w:rPr>
        <w:t xml:space="preserve">KOMISIE  PRE UDELENIE OPRÁVNENIA STREDNEJ ODBORNEJ ŠKOLE POUŽÍVAŤ POPRI SVOJOM NÁZVE AJ OZNAČENIE CENTRUM ODBORNÉHO VZDELÁVANIA A PRÍPRAVY </w:t>
      </w:r>
      <w:r>
        <w:rPr>
          <w:b/>
        </w:rPr>
        <w:t>PRE SKUPINY</w:t>
      </w:r>
      <w:r w:rsidRPr="00E87B56">
        <w:rPr>
          <w:b/>
        </w:rPr>
        <w:t xml:space="preserve"> UČEBNÝCH A ŠTUDIJNÝCH ODBOROV </w:t>
      </w:r>
    </w:p>
    <w:p w:rsidR="00730FFC" w:rsidRPr="00571ABE" w:rsidRDefault="00730FFC" w:rsidP="00730FF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  <w:r w:rsidRPr="00571ABE">
        <w:rPr>
          <w:rFonts w:eastAsia="Calibri"/>
          <w:lang w:eastAsia="en-US"/>
        </w:rPr>
        <w:t>29 Potravinárstvo</w:t>
      </w:r>
    </w:p>
    <w:p w:rsidR="00730FFC" w:rsidRPr="00571ABE" w:rsidRDefault="00730FFC" w:rsidP="00730FF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71ABE">
        <w:rPr>
          <w:rFonts w:eastAsia="Calibri"/>
          <w:lang w:eastAsia="en-US"/>
        </w:rPr>
        <w:t>42 Poľnohospodárstvo, lesníctvo a rozvoj vidieka I.</w:t>
      </w:r>
    </w:p>
    <w:p w:rsidR="00730FFC" w:rsidRPr="00571ABE" w:rsidRDefault="00730FFC" w:rsidP="00730FF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71ABE">
        <w:rPr>
          <w:rFonts w:eastAsia="Calibri"/>
          <w:lang w:eastAsia="en-US"/>
        </w:rPr>
        <w:t>43 Veterinárne vedy</w:t>
      </w:r>
    </w:p>
    <w:p w:rsidR="00730FFC" w:rsidRPr="00571ABE" w:rsidRDefault="00730FFC" w:rsidP="00730FF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71ABE">
        <w:rPr>
          <w:rFonts w:eastAsia="Calibri"/>
          <w:lang w:eastAsia="en-US"/>
        </w:rPr>
        <w:t xml:space="preserve">45 Poľnohospodárstvo, lesníctvo a rozvoj vidieka II. </w:t>
      </w:r>
    </w:p>
    <w:p w:rsidR="00730FFC" w:rsidRDefault="00730FFC" w:rsidP="00730FFC">
      <w:pPr>
        <w:outlineLvl w:val="0"/>
        <w:rPr>
          <w:caps/>
        </w:rPr>
      </w:pPr>
    </w:p>
    <w:p w:rsidR="00730FFC" w:rsidRPr="00C20284" w:rsidRDefault="00730FFC" w:rsidP="00730FFC">
      <w:pPr>
        <w:jc w:val="both"/>
        <w:outlineLvl w:val="0"/>
        <w:rPr>
          <w:b/>
        </w:rPr>
      </w:pPr>
      <w:r w:rsidRPr="00E87B56">
        <w:t xml:space="preserve">Slovenská poľnohospodárska a potravinárska komora (ďalej len „SPPK“), ako stavovská organizácia s vecnou pôsobnosťou podľa vyhlášky č. 64/2015 Z. z. o sústave odborov vzdelávania a o vecnej pôsobnosti k odborom vzdelávania k vyššie uvedeným skupinám odborov vzdelávania, v zmysle § 24 ods. 2 písm. d) zákona č. 61/2015 Z. z. o odbornom vzdelávaní a príprave a o zmene a doplnení niektorých zákonov (ďalej len „zákon“), vydáva </w:t>
      </w:r>
      <w:r w:rsidRPr="00E87B56">
        <w:rPr>
          <w:rFonts w:eastAsia="Calibri"/>
          <w:lang w:eastAsia="en-US"/>
        </w:rPr>
        <w:t>podrobnosti o</w:t>
      </w:r>
      <w:r>
        <w:t xml:space="preserve"> rokovaní </w:t>
      </w:r>
      <w:r w:rsidRPr="00E87B56">
        <w:rPr>
          <w:rFonts w:eastAsia="Calibri"/>
          <w:lang w:eastAsia="en-US"/>
        </w:rPr>
        <w:t xml:space="preserve">komisie </w:t>
      </w:r>
      <w:r w:rsidRPr="00E87B56">
        <w:t>pre udelenie oprávnenia strednej odbornej škole (ďalej len „SOŠ“) používať popri svojom názve aj označenie centrum odborného vzdelávania a prípravy pre učebné a študijné odbory zaradené do vyššie uvedených skupín odborov (ďalej len „Centrum OVP“)</w:t>
      </w:r>
      <w:r w:rsidR="00001242">
        <w:t xml:space="preserve">. Rokovací poriadok komisie pre udelenie </w:t>
      </w:r>
      <w:r w:rsidR="00001242" w:rsidRPr="00E87B56">
        <w:t xml:space="preserve">oprávnenia </w:t>
      </w:r>
      <w:r w:rsidR="00001242">
        <w:t>S</w:t>
      </w:r>
      <w:r w:rsidR="00001242" w:rsidRPr="00E87B56">
        <w:t xml:space="preserve">OŠ používať popri svojom názve aj označenie </w:t>
      </w:r>
      <w:r w:rsidR="00001242">
        <w:t xml:space="preserve">Centrum OVP pre skupiny učebných a študijných </w:t>
      </w:r>
      <w:r w:rsidR="00001242" w:rsidRPr="00E87B56">
        <w:t>odbor</w:t>
      </w:r>
      <w:r w:rsidR="00001242">
        <w:t>ov</w:t>
      </w:r>
      <w:r w:rsidR="00001242" w:rsidRPr="00E87B56">
        <w:t xml:space="preserve"> zaraden</w:t>
      </w:r>
      <w:r w:rsidR="00001242">
        <w:t xml:space="preserve">ých </w:t>
      </w:r>
      <w:r w:rsidR="00001242" w:rsidRPr="00E87B56">
        <w:t>do vyššie uvedených skupín odborov (ďalej len „</w:t>
      </w:r>
      <w:r w:rsidR="00001242">
        <w:t>Rokovací poriadok komisie</w:t>
      </w:r>
      <w:r w:rsidR="00001242" w:rsidRPr="00E87B56">
        <w:t>“)</w:t>
      </w:r>
      <w:r w:rsidR="004206C9">
        <w:t xml:space="preserve"> vychádza zo štatútu komisie pre udelenie oprávnenia SOŠ používať popri svojom  názve aj označenie Centrum OVP</w:t>
      </w:r>
      <w:r w:rsidR="00001242">
        <w:t xml:space="preserve"> pre skupiny učebných a študijných </w:t>
      </w:r>
      <w:r w:rsidR="00001242" w:rsidRPr="00E87B56">
        <w:t>odbor</w:t>
      </w:r>
      <w:r w:rsidR="00001242">
        <w:t>ov</w:t>
      </w:r>
      <w:r w:rsidR="00001242" w:rsidRPr="00E87B56">
        <w:t xml:space="preserve"> zaraden</w:t>
      </w:r>
      <w:r w:rsidR="00001242">
        <w:t xml:space="preserve">ých </w:t>
      </w:r>
      <w:r w:rsidR="00001242" w:rsidRPr="00E87B56">
        <w:t>do vyššie uvedených skupín odborov</w:t>
      </w:r>
      <w:r w:rsidR="004206C9">
        <w:t xml:space="preserve"> (ďalej len „Štatút komisie“).</w:t>
      </w:r>
      <w:r w:rsidRPr="00E87B56">
        <w:t xml:space="preserve"> </w:t>
      </w:r>
    </w:p>
    <w:p w:rsidR="00730FFC" w:rsidRPr="00571ABE" w:rsidRDefault="00730FFC" w:rsidP="00730FFC">
      <w:pPr>
        <w:pStyle w:val="opcislo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</w:p>
    <w:p w:rsidR="00730FFC" w:rsidRPr="00571ABE" w:rsidRDefault="00730FFC" w:rsidP="00730FFC"/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Článok 1</w:t>
      </w: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Úvodné ustanovenia</w:t>
      </w:r>
    </w:p>
    <w:p w:rsidR="00730FFC" w:rsidRPr="00571ABE" w:rsidRDefault="00730FFC" w:rsidP="00730FFC">
      <w:pPr>
        <w:rPr>
          <w:b/>
        </w:rPr>
      </w:pPr>
    </w:p>
    <w:p w:rsidR="0024653B" w:rsidRDefault="00454828" w:rsidP="00730FFC">
      <w:pPr>
        <w:numPr>
          <w:ilvl w:val="0"/>
          <w:numId w:val="3"/>
        </w:numPr>
        <w:ind w:left="284" w:hanging="284"/>
        <w:jc w:val="both"/>
      </w:pPr>
      <w:r>
        <w:t>Rokovací poriadok komisie</w:t>
      </w:r>
      <w:r w:rsidR="00730FFC" w:rsidRPr="00571ABE">
        <w:t xml:space="preserve"> upravuje prípravu a obsah rokovania, priebeh zasadania a spôsob prijímania uznesení odbornej komisie pre udelenie možnosti </w:t>
      </w:r>
      <w:r w:rsidR="0024653B">
        <w:t xml:space="preserve">SOŠ </w:t>
      </w:r>
      <w:r w:rsidR="00730FFC" w:rsidRPr="00571ABE">
        <w:t>pôsobiť ako Centrum OVP</w:t>
      </w:r>
      <w:r w:rsidR="00462EA4">
        <w:t xml:space="preserve">. </w:t>
      </w:r>
      <w:r w:rsidR="00730FFC" w:rsidRPr="00571ABE">
        <w:t xml:space="preserve">  </w:t>
      </w:r>
    </w:p>
    <w:p w:rsidR="00730FFC" w:rsidRDefault="00730FFC" w:rsidP="0024653B">
      <w:pPr>
        <w:ind w:left="284"/>
        <w:jc w:val="both"/>
      </w:pPr>
    </w:p>
    <w:p w:rsidR="00730FFC" w:rsidRPr="00571ABE" w:rsidRDefault="00730FFC" w:rsidP="00730FFC">
      <w:pPr>
        <w:numPr>
          <w:ilvl w:val="0"/>
          <w:numId w:val="3"/>
        </w:numPr>
        <w:ind w:left="284" w:hanging="284"/>
        <w:jc w:val="both"/>
      </w:pPr>
      <w:r w:rsidRPr="00E87B56">
        <w:t xml:space="preserve">Projektom sa pre účely </w:t>
      </w:r>
      <w:r w:rsidR="00454828">
        <w:t xml:space="preserve">Rokovacieho poriadku komisie </w:t>
      </w:r>
      <w:r w:rsidRPr="00E87B56">
        <w:t xml:space="preserve">rozumie žiadosť SOŠ a prílohy k žiadosti (ďalej len „Projekt“). Podrobnosti o obsahu žiadosti a jej príloh sú uvedené v Podmienkach pre udelenie oprávnenia </w:t>
      </w:r>
      <w:r w:rsidR="00454828">
        <w:t xml:space="preserve">SOŠ </w:t>
      </w:r>
      <w:r w:rsidRPr="00E87B56">
        <w:t>používať popri svojom názve aj označenie Centrum OVP</w:t>
      </w:r>
      <w:r w:rsidR="00454828">
        <w:t>, vydaných SPPK</w:t>
      </w:r>
      <w:r w:rsidRPr="00E87B56">
        <w:t xml:space="preserve"> pre </w:t>
      </w:r>
      <w:r w:rsidR="001A13DB">
        <w:t xml:space="preserve">vyššie uvedené skupiny odborov </w:t>
      </w:r>
      <w:r w:rsidRPr="00E87B56">
        <w:t>(ďalej len „Podmienky“).</w:t>
      </w:r>
    </w:p>
    <w:p w:rsidR="00730FFC" w:rsidRPr="00571ABE" w:rsidRDefault="00730FFC" w:rsidP="00730FFC">
      <w:pPr>
        <w:jc w:val="both"/>
        <w:outlineLvl w:val="0"/>
        <w:rPr>
          <w:b/>
        </w:rPr>
      </w:pPr>
    </w:p>
    <w:p w:rsidR="00730FFC" w:rsidRPr="00571ABE" w:rsidRDefault="00730FFC" w:rsidP="00730FFC">
      <w:pPr>
        <w:outlineLvl w:val="0"/>
        <w:rPr>
          <w:b/>
        </w:rPr>
      </w:pP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Článok 2</w:t>
      </w: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Zvolanie a priebeh zasadnutia komisie</w:t>
      </w:r>
    </w:p>
    <w:p w:rsidR="00730FFC" w:rsidRPr="00571ABE" w:rsidRDefault="00730FFC" w:rsidP="00730FFC">
      <w:pPr>
        <w:rPr>
          <w:b/>
        </w:rPr>
      </w:pPr>
    </w:p>
    <w:p w:rsidR="00730FFC" w:rsidRPr="00571ABE" w:rsidRDefault="00730FFC" w:rsidP="00730FFC">
      <w:pPr>
        <w:numPr>
          <w:ilvl w:val="0"/>
          <w:numId w:val="5"/>
        </w:numPr>
        <w:ind w:left="284" w:hanging="284"/>
        <w:jc w:val="both"/>
      </w:pPr>
      <w:r w:rsidRPr="00571ABE">
        <w:t xml:space="preserve">Zasadnutia komisie pripravuje a zvoláva tajomník komisie v zmysle štatútu komisie. </w:t>
      </w:r>
    </w:p>
    <w:p w:rsidR="00730FFC" w:rsidRPr="00571ABE" w:rsidRDefault="00730FFC" w:rsidP="00730FFC">
      <w:pPr>
        <w:jc w:val="both"/>
      </w:pPr>
    </w:p>
    <w:p w:rsidR="00730FFC" w:rsidRPr="00571ABE" w:rsidRDefault="00730FFC" w:rsidP="00730FFC">
      <w:pPr>
        <w:numPr>
          <w:ilvl w:val="0"/>
          <w:numId w:val="5"/>
        </w:numPr>
        <w:ind w:left="284" w:hanging="284"/>
        <w:jc w:val="both"/>
      </w:pPr>
      <w:r w:rsidRPr="00571ABE">
        <w:t xml:space="preserve">Zasadnutie komisie vedie predseda komisie alebo iný člen komisie poverený predsedom komisie. </w:t>
      </w:r>
    </w:p>
    <w:p w:rsidR="00730FFC" w:rsidRPr="00571ABE" w:rsidRDefault="00730FFC" w:rsidP="00730FFC">
      <w:pPr>
        <w:ind w:left="284"/>
        <w:jc w:val="both"/>
      </w:pPr>
    </w:p>
    <w:p w:rsidR="00730FFC" w:rsidRDefault="00730FFC" w:rsidP="00730FFC">
      <w:pPr>
        <w:numPr>
          <w:ilvl w:val="0"/>
          <w:numId w:val="5"/>
        </w:numPr>
        <w:ind w:left="284" w:hanging="284"/>
        <w:jc w:val="both"/>
      </w:pPr>
      <w:r w:rsidRPr="00571ABE">
        <w:lastRenderedPageBreak/>
        <w:t>Komisia je uznášaniaschopná, ak sa zasadnutia zúčastní  nadpolovičná väčšina určeného počtu členov zo zástupcov minimálne troch rôznych inštitúcií uvedených v</w:t>
      </w:r>
      <w:r w:rsidRPr="00571ABE" w:rsidDel="003C3EFE">
        <w:t> </w:t>
      </w:r>
      <w:r w:rsidRPr="00571ABE">
        <w:t xml:space="preserve"> článku 3 bodoch </w:t>
      </w:r>
      <w:r>
        <w:t>2</w:t>
      </w:r>
      <w:r w:rsidRPr="00571ABE">
        <w:t xml:space="preserve"> a </w:t>
      </w:r>
      <w:r>
        <w:t>3</w:t>
      </w:r>
      <w:r w:rsidRPr="00571ABE">
        <w:t xml:space="preserve">  </w:t>
      </w:r>
      <w:r w:rsidR="001A13DB">
        <w:t>Š</w:t>
      </w:r>
      <w:r w:rsidRPr="00571ABE">
        <w:t>tatútu komisie.</w:t>
      </w:r>
    </w:p>
    <w:p w:rsidR="00730FFC" w:rsidRPr="00571ABE" w:rsidRDefault="00730FFC" w:rsidP="00730FFC">
      <w:pPr>
        <w:widowControl w:val="0"/>
        <w:adjustRightInd w:val="0"/>
        <w:jc w:val="both"/>
        <w:textAlignment w:val="baseline"/>
      </w:pPr>
    </w:p>
    <w:p w:rsidR="00730FFC" w:rsidRDefault="00730FFC" w:rsidP="00730FFC">
      <w:pPr>
        <w:widowControl w:val="0"/>
        <w:numPr>
          <w:ilvl w:val="0"/>
          <w:numId w:val="5"/>
        </w:numPr>
        <w:adjustRightInd w:val="0"/>
        <w:ind w:left="284" w:hanging="284"/>
        <w:jc w:val="both"/>
        <w:textAlignment w:val="baseline"/>
      </w:pPr>
      <w:r w:rsidRPr="00571ABE">
        <w:t xml:space="preserve">Každý člen komisie projekt individuálne posúdi a pridelí mu počet bodov v hodnotiacom hárku.  </w:t>
      </w:r>
    </w:p>
    <w:p w:rsidR="00730FFC" w:rsidRDefault="00730FFC" w:rsidP="00730FFC">
      <w:pPr>
        <w:pStyle w:val="Odsekzoznamu"/>
        <w:ind w:left="284" w:hanging="284"/>
      </w:pPr>
    </w:p>
    <w:p w:rsidR="00730FFC" w:rsidRDefault="00730FFC" w:rsidP="00730FFC">
      <w:pPr>
        <w:widowControl w:val="0"/>
        <w:numPr>
          <w:ilvl w:val="0"/>
          <w:numId w:val="5"/>
        </w:numPr>
        <w:adjustRightInd w:val="0"/>
        <w:ind w:left="284" w:hanging="284"/>
        <w:jc w:val="both"/>
        <w:textAlignment w:val="baseline"/>
      </w:pPr>
      <w:r w:rsidRPr="00571ABE">
        <w:t xml:space="preserve">Tajomník komisie na základe bodového hodnotenia všetkých členov komisie vypočíta bodový priemer každého posudzovaného projektu a výsledky predloží predsedovi komisie. </w:t>
      </w:r>
    </w:p>
    <w:p w:rsidR="00730FFC" w:rsidRDefault="00730FFC" w:rsidP="00730FFC">
      <w:pPr>
        <w:pStyle w:val="Odsekzoznamu"/>
      </w:pPr>
    </w:p>
    <w:p w:rsidR="00730FFC" w:rsidRDefault="00730FFC" w:rsidP="00730FFC">
      <w:pPr>
        <w:widowControl w:val="0"/>
        <w:numPr>
          <w:ilvl w:val="0"/>
          <w:numId w:val="5"/>
        </w:numPr>
        <w:adjustRightInd w:val="0"/>
        <w:ind w:left="284" w:hanging="284"/>
        <w:jc w:val="both"/>
        <w:textAlignment w:val="baseline"/>
      </w:pPr>
      <w:r w:rsidRPr="00571ABE">
        <w:t xml:space="preserve">Predseda komisie oboznámi prítomných s výsledkami práce komisie a na ich základe navrhne uznesenie, v ktorom odporučí alebo neodporučí pokračovať v schvaľovacom procese kontrolou na mieste, v zmysle článku 3. </w:t>
      </w:r>
    </w:p>
    <w:p w:rsidR="00730FFC" w:rsidRDefault="00730FFC" w:rsidP="00730FFC">
      <w:pPr>
        <w:pStyle w:val="Odsekzoznamu"/>
      </w:pPr>
    </w:p>
    <w:p w:rsidR="00730FFC" w:rsidRPr="00571ABE" w:rsidRDefault="00730FFC" w:rsidP="00730FFC">
      <w:pPr>
        <w:widowControl w:val="0"/>
        <w:numPr>
          <w:ilvl w:val="0"/>
          <w:numId w:val="5"/>
        </w:numPr>
        <w:adjustRightInd w:val="0"/>
        <w:ind w:left="284" w:hanging="284"/>
        <w:jc w:val="both"/>
        <w:textAlignment w:val="baseline"/>
      </w:pPr>
      <w:r w:rsidRPr="00571ABE">
        <w:t xml:space="preserve">Zápisnica zo zasadnutia komisie obsahuje zdôvodnenia rozhodnutia komisie v prípade projektov, u ktorých komisia neodporúča schválenie možnosti pôsobiť ako Centrum OVP. </w:t>
      </w:r>
    </w:p>
    <w:p w:rsidR="00730FFC" w:rsidRPr="00571ABE" w:rsidRDefault="00730FFC" w:rsidP="00730FFC">
      <w:pPr>
        <w:widowControl w:val="0"/>
        <w:adjustRightInd w:val="0"/>
        <w:ind w:left="720"/>
        <w:jc w:val="both"/>
        <w:textAlignment w:val="baseline"/>
      </w:pPr>
    </w:p>
    <w:p w:rsidR="00730FFC" w:rsidRPr="00571ABE" w:rsidRDefault="00730FFC" w:rsidP="00730FFC">
      <w:pPr>
        <w:widowControl w:val="0"/>
        <w:adjustRightInd w:val="0"/>
        <w:ind w:left="720"/>
        <w:jc w:val="both"/>
        <w:textAlignment w:val="baseline"/>
      </w:pP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Článok 3</w:t>
      </w:r>
    </w:p>
    <w:p w:rsidR="00730FFC" w:rsidRPr="00571ABE" w:rsidRDefault="00730FFC" w:rsidP="00730FFC">
      <w:pPr>
        <w:jc w:val="center"/>
        <w:rPr>
          <w:b/>
        </w:rPr>
      </w:pPr>
      <w:r w:rsidRPr="00571ABE">
        <w:rPr>
          <w:b/>
        </w:rPr>
        <w:t xml:space="preserve">Kontrola na mieste </w:t>
      </w:r>
    </w:p>
    <w:p w:rsidR="00730FFC" w:rsidRPr="00571ABE" w:rsidRDefault="00730FFC" w:rsidP="00730FFC">
      <w:pPr>
        <w:rPr>
          <w:b/>
        </w:rPr>
      </w:pPr>
    </w:p>
    <w:p w:rsidR="001A13DB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Kontrola na mieste sa vykonáva za účelom zistenia súladu skutočného stavu s predloženým projektom. </w:t>
      </w:r>
      <w:r w:rsidR="001A13DB">
        <w:br/>
      </w:r>
    </w:p>
    <w:p w:rsidR="001A13DB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Kontrolu na mieste vykonajú zástupcovia komisie, ktorých schvaľuje predseda komisie v čase konania príslušného zasadnutia komisie. </w:t>
      </w:r>
    </w:p>
    <w:p w:rsidR="001A13DB" w:rsidRDefault="001A13DB" w:rsidP="001A13DB">
      <w:pPr>
        <w:ind w:left="284"/>
        <w:jc w:val="both"/>
      </w:pPr>
    </w:p>
    <w:p w:rsidR="00730FFC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Každý člen komisie, ktorý vykonáva kontrolu na mieste, individuálne posúdi žiadateľa a pridelí mu počet bodov v hodnotiacom hárku. </w:t>
      </w:r>
    </w:p>
    <w:p w:rsidR="001A13DB" w:rsidRPr="00571ABE" w:rsidRDefault="001A13DB" w:rsidP="001A13DB">
      <w:pPr>
        <w:jc w:val="both"/>
      </w:pPr>
    </w:p>
    <w:p w:rsidR="00730FFC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Tajomník komisie na základe bodového hodnotenia všetkých členov komisie vypočíta bodový priemer hodnotenia na mieste a výsledky predloží predsedovi komisie alebo ním poverenému zástupcovi. </w:t>
      </w:r>
    </w:p>
    <w:p w:rsidR="001A13DB" w:rsidRPr="00571ABE" w:rsidRDefault="001A13DB" w:rsidP="001A13DB">
      <w:pPr>
        <w:jc w:val="both"/>
      </w:pPr>
    </w:p>
    <w:p w:rsidR="00730FFC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Predseda komisie alebo ním poverený zástupca oboznámi prítomných s výsledkami  a na ich základe navrhne uznesenie, v ktorom odporučí alebo neodporučí predsedovi SPPK schválenie možnosti strednej odbornej školy, strediska praktického vyučovania, školského hospodárstva alebo strediska odbornej praxe pôsobiť ako Centrum OVP.  </w:t>
      </w:r>
    </w:p>
    <w:p w:rsidR="001A13DB" w:rsidRPr="00571ABE" w:rsidRDefault="001A13DB" w:rsidP="001A13DB">
      <w:pPr>
        <w:jc w:val="both"/>
      </w:pPr>
    </w:p>
    <w:p w:rsidR="00730FFC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Z kontroly na mieste sa vyhotovuje zápisnica, ktorá sa prikladá k zápisnici zo zasadnutia komisie. Zápisnica z kontroly na mieste obsahuje zdôvodnenia rozhodnutia komisie v prípade žiadateľov, u ktorých komisia neodporúča schválenie možnosti pôsobiť ako Centrum OVP. </w:t>
      </w:r>
    </w:p>
    <w:p w:rsidR="001A13DB" w:rsidRPr="00571ABE" w:rsidRDefault="001A13DB" w:rsidP="001A13DB">
      <w:pPr>
        <w:jc w:val="both"/>
      </w:pPr>
    </w:p>
    <w:p w:rsidR="00730FFC" w:rsidRPr="001A13DB" w:rsidRDefault="00730FFC" w:rsidP="001A13DB">
      <w:pPr>
        <w:numPr>
          <w:ilvl w:val="0"/>
          <w:numId w:val="7"/>
        </w:numPr>
        <w:ind w:left="284" w:hanging="284"/>
        <w:jc w:val="both"/>
      </w:pPr>
      <w:r w:rsidRPr="00571ABE">
        <w:t xml:space="preserve">Pri zistení nesúladu predloženého projektu a kontroly na mieste bude stredná odborná škola, stredisko praktického vyučovania, školské hospodárstvo alebo stredisko odbornej praxe uchádzajúce sa o možnosť pôsobiť ako Centrum OVP  z výberu vylúčené.   </w:t>
      </w:r>
    </w:p>
    <w:p w:rsidR="001A13DB" w:rsidRDefault="001A13DB" w:rsidP="00730FFC">
      <w:pPr>
        <w:jc w:val="center"/>
        <w:outlineLvl w:val="0"/>
        <w:rPr>
          <w:b/>
        </w:rPr>
      </w:pPr>
    </w:p>
    <w:p w:rsidR="00847744" w:rsidRDefault="00847744" w:rsidP="00730FFC">
      <w:pPr>
        <w:jc w:val="center"/>
        <w:outlineLvl w:val="0"/>
        <w:rPr>
          <w:b/>
        </w:rPr>
      </w:pP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Článok 4</w:t>
      </w:r>
    </w:p>
    <w:p w:rsidR="00730FFC" w:rsidRPr="00571ABE" w:rsidRDefault="00730FFC" w:rsidP="00730FFC">
      <w:pPr>
        <w:jc w:val="center"/>
        <w:rPr>
          <w:b/>
        </w:rPr>
      </w:pPr>
      <w:r w:rsidRPr="00571ABE">
        <w:rPr>
          <w:b/>
        </w:rPr>
        <w:t>Prijímanie uznesení a hlasovanie</w:t>
      </w:r>
    </w:p>
    <w:p w:rsidR="00730FFC" w:rsidRPr="00571ABE" w:rsidRDefault="00730FFC" w:rsidP="00730FFC">
      <w:pPr>
        <w:rPr>
          <w:b/>
        </w:rPr>
      </w:pPr>
    </w:p>
    <w:p w:rsidR="001A13DB" w:rsidRDefault="00730FFC" w:rsidP="001A13DB">
      <w:pPr>
        <w:numPr>
          <w:ilvl w:val="0"/>
          <w:numId w:val="8"/>
        </w:numPr>
        <w:ind w:left="284" w:hanging="284"/>
        <w:jc w:val="both"/>
      </w:pPr>
      <w:r w:rsidRPr="00571ABE">
        <w:t>O prijatí navrhovaného uznesenia rozhoduje komisia hlasovaním. 2</w:t>
      </w:r>
      <w:r>
        <w:t>.</w:t>
      </w:r>
      <w:r w:rsidRPr="00571ABE">
        <w:t xml:space="preserve">  Každý člen komisie má 1 hlas. </w:t>
      </w:r>
    </w:p>
    <w:p w:rsidR="001A13DB" w:rsidRDefault="001A13DB" w:rsidP="001A13DB">
      <w:pPr>
        <w:ind w:left="284"/>
        <w:jc w:val="both"/>
      </w:pPr>
    </w:p>
    <w:p w:rsidR="00730FFC" w:rsidRPr="00571ABE" w:rsidRDefault="00730FFC" w:rsidP="001A13DB">
      <w:pPr>
        <w:numPr>
          <w:ilvl w:val="0"/>
          <w:numId w:val="8"/>
        </w:numPr>
        <w:ind w:left="284" w:hanging="284"/>
        <w:jc w:val="both"/>
      </w:pPr>
      <w:r w:rsidRPr="00571ABE">
        <w:t xml:space="preserve">Člen komisie, ktorý nesúhlasí s uznesením, má právo podať stanovisko, v ktorom uvedie svoj odlišný názor a jeho zdôvodnenie. Toto stanovisko sa prikladá  k uzneseniu. </w:t>
      </w:r>
    </w:p>
    <w:p w:rsidR="00730FFC" w:rsidRPr="00571ABE" w:rsidRDefault="00730FFC" w:rsidP="001A13DB">
      <w:pPr>
        <w:ind w:left="284"/>
        <w:jc w:val="both"/>
      </w:pPr>
    </w:p>
    <w:p w:rsidR="00730FFC" w:rsidRPr="00571ABE" w:rsidRDefault="00730FFC" w:rsidP="001A13DB">
      <w:pPr>
        <w:numPr>
          <w:ilvl w:val="0"/>
          <w:numId w:val="8"/>
        </w:numPr>
        <w:ind w:left="284" w:hanging="284"/>
        <w:jc w:val="both"/>
      </w:pPr>
      <w:r w:rsidRPr="00571ABE">
        <w:t xml:space="preserve">Na schválenie uznesenia je potrebná nadpolovičná väčšina hlasov prítomných členov komisie s platným hlasovacím právom. V prípade rovnosti hlasov je rozhodujúci hlas predsedu komisie alebo ním povereného zástupcu.  </w:t>
      </w:r>
    </w:p>
    <w:p w:rsidR="00730FFC" w:rsidRPr="00571ABE" w:rsidRDefault="00730FFC" w:rsidP="001A13DB">
      <w:pPr>
        <w:ind w:left="284"/>
        <w:jc w:val="both"/>
      </w:pPr>
    </w:p>
    <w:p w:rsidR="00730FFC" w:rsidRPr="00571ABE" w:rsidRDefault="00730FFC" w:rsidP="001A13DB">
      <w:pPr>
        <w:numPr>
          <w:ilvl w:val="0"/>
          <w:numId w:val="8"/>
        </w:numPr>
        <w:ind w:left="284" w:hanging="284"/>
        <w:jc w:val="both"/>
      </w:pPr>
      <w:r w:rsidRPr="00571ABE">
        <w:t xml:space="preserve">Po prijatí uznesenia tajomník zabezpečí vyhotovenie a overenie zápisnice zo zasadnutia, ktorej prílohou je prezenčná listina, výsledok hodnotenia a uznesenie komisie. </w:t>
      </w:r>
    </w:p>
    <w:p w:rsidR="00730FFC" w:rsidRPr="00571ABE" w:rsidRDefault="00730FFC" w:rsidP="001A13DB">
      <w:pPr>
        <w:ind w:left="284"/>
        <w:jc w:val="both"/>
      </w:pPr>
    </w:p>
    <w:p w:rsidR="00730FFC" w:rsidRPr="00571ABE" w:rsidRDefault="00730FFC" w:rsidP="001A13DB">
      <w:pPr>
        <w:numPr>
          <w:ilvl w:val="0"/>
          <w:numId w:val="8"/>
        </w:numPr>
        <w:ind w:left="284" w:hanging="284"/>
        <w:jc w:val="both"/>
      </w:pPr>
      <w:r w:rsidRPr="00571ABE">
        <w:t xml:space="preserve">Uznesenie a zápisnicu zo zasadnutia komisie a kontroly na mieste podpisuje predseda komisie alebo ním poverený zástupca.  </w:t>
      </w:r>
    </w:p>
    <w:p w:rsidR="00730FFC" w:rsidRPr="00571ABE" w:rsidRDefault="00730FFC" w:rsidP="00730FFC">
      <w:pPr>
        <w:rPr>
          <w:b/>
        </w:rPr>
      </w:pPr>
    </w:p>
    <w:p w:rsidR="00730FFC" w:rsidRPr="00571ABE" w:rsidRDefault="00730FFC" w:rsidP="00730FFC">
      <w:pPr>
        <w:rPr>
          <w:b/>
        </w:rPr>
      </w:pPr>
    </w:p>
    <w:p w:rsidR="00730FFC" w:rsidRPr="00571ABE" w:rsidRDefault="00730FFC" w:rsidP="00730FFC">
      <w:pPr>
        <w:jc w:val="center"/>
        <w:outlineLvl w:val="0"/>
        <w:rPr>
          <w:b/>
        </w:rPr>
      </w:pPr>
      <w:r w:rsidRPr="00571ABE">
        <w:rPr>
          <w:b/>
        </w:rPr>
        <w:t>Článok 5</w:t>
      </w:r>
    </w:p>
    <w:p w:rsidR="00730FFC" w:rsidRPr="00571ABE" w:rsidRDefault="00730FFC" w:rsidP="00730FFC">
      <w:pPr>
        <w:jc w:val="center"/>
        <w:rPr>
          <w:b/>
        </w:rPr>
      </w:pPr>
      <w:r w:rsidRPr="00571ABE">
        <w:rPr>
          <w:b/>
        </w:rPr>
        <w:t>Účinnosť</w:t>
      </w:r>
    </w:p>
    <w:p w:rsidR="00730FFC" w:rsidRPr="00571ABE" w:rsidRDefault="00730FFC" w:rsidP="00730FFC">
      <w:pPr>
        <w:rPr>
          <w:b/>
        </w:rPr>
      </w:pPr>
    </w:p>
    <w:p w:rsidR="00730FFC" w:rsidRPr="00712642" w:rsidRDefault="001A13DB" w:rsidP="001A13DB">
      <w:pPr>
        <w:numPr>
          <w:ilvl w:val="0"/>
          <w:numId w:val="4"/>
        </w:numPr>
        <w:ind w:left="426" w:hanging="426"/>
        <w:jc w:val="both"/>
        <w:outlineLvl w:val="0"/>
      </w:pPr>
      <w:r>
        <w:t xml:space="preserve">Rokovací poriadok komisie </w:t>
      </w:r>
      <w:r w:rsidR="00730FFC" w:rsidRPr="00712642">
        <w:t xml:space="preserve">pre udelenie oprávnenia SOŠ používať popri svojom názve aj označenie Centrum OVP nadobúdajú platnosť a účinnosť dňom </w:t>
      </w:r>
      <w:r>
        <w:t xml:space="preserve">jeho </w:t>
      </w:r>
      <w:r w:rsidR="00730FFC" w:rsidRPr="00712642">
        <w:t>schválenia štatutárom SPPK</w:t>
      </w:r>
      <w:r w:rsidR="00730FFC">
        <w:t xml:space="preserve">. </w:t>
      </w:r>
    </w:p>
    <w:p w:rsidR="00730FFC" w:rsidRPr="00571ABE" w:rsidRDefault="00730FFC" w:rsidP="00730FFC"/>
    <w:p w:rsidR="00730FFC" w:rsidRPr="00571ABE" w:rsidRDefault="00730FFC" w:rsidP="00730FFC"/>
    <w:p w:rsidR="00730FFC" w:rsidRPr="00E87B56" w:rsidRDefault="00730FFC" w:rsidP="00730FFC">
      <w:pPr>
        <w:pStyle w:val="PODN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361"/>
        <w:gridCol w:w="4538"/>
        <w:gridCol w:w="8"/>
      </w:tblGrid>
      <w:tr w:rsidR="00730FFC" w:rsidRPr="00E87B56" w:rsidTr="00A5207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8"/>
        </w:trPr>
        <w:tc>
          <w:tcPr>
            <w:tcW w:w="4361" w:type="dxa"/>
          </w:tcPr>
          <w:p w:rsidR="00730FFC" w:rsidRPr="00E87B56" w:rsidRDefault="00730FFC" w:rsidP="00A52072">
            <w:pPr>
              <w:pStyle w:val="PODN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7B56">
              <w:rPr>
                <w:rFonts w:ascii="Times New Roman" w:hAnsi="Times New Roman"/>
                <w:b w:val="0"/>
                <w:sz w:val="24"/>
                <w:szCs w:val="24"/>
              </w:rPr>
              <w:t xml:space="preserve"> V Bratislave, dňa 30.5.2018</w:t>
            </w:r>
          </w:p>
        </w:tc>
        <w:tc>
          <w:tcPr>
            <w:tcW w:w="4538" w:type="dxa"/>
          </w:tcPr>
          <w:p w:rsidR="00730FFC" w:rsidRPr="00A86647" w:rsidRDefault="00730FFC" w:rsidP="00A52072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0FFC" w:rsidRPr="00A86647" w:rsidRDefault="00730FFC" w:rsidP="00A52072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0FFC" w:rsidRPr="00A86647" w:rsidRDefault="00730FFC" w:rsidP="00A52072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0FFC" w:rsidRPr="00A86647" w:rsidRDefault="00730FFC" w:rsidP="00A52072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0FFC" w:rsidRPr="00E87B56" w:rsidTr="00A520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61" w:type="dxa"/>
          </w:tcPr>
          <w:p w:rsidR="00730FFC" w:rsidRPr="00E87B56" w:rsidRDefault="00730FFC" w:rsidP="00A52072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</w:tcPr>
          <w:p w:rsidR="00730FFC" w:rsidRPr="00E87B56" w:rsidRDefault="00730FFC" w:rsidP="00A52072">
            <w:pPr>
              <w:ind w:left="567"/>
              <w:rPr>
                <w:bCs/>
                <w:noProof/>
                <w:kern w:val="28"/>
                <w:lang w:eastAsia="en-US"/>
              </w:rPr>
            </w:pPr>
            <w:r>
              <w:rPr>
                <w:bCs/>
                <w:noProof/>
                <w:kern w:val="28"/>
                <w:lang w:eastAsia="en-US"/>
              </w:rPr>
              <w:t xml:space="preserve">                     Bc.</w:t>
            </w:r>
            <w:r w:rsidRPr="00E87B56">
              <w:rPr>
                <w:bCs/>
                <w:noProof/>
                <w:kern w:val="28"/>
                <w:lang w:eastAsia="en-US"/>
              </w:rPr>
              <w:t xml:space="preserve"> Emil Macho</w:t>
            </w:r>
            <w:r w:rsidR="009B5B8A">
              <w:rPr>
                <w:bCs/>
                <w:noProof/>
                <w:kern w:val="28"/>
                <w:lang w:eastAsia="en-US"/>
              </w:rPr>
              <w:t>, v.r.</w:t>
            </w:r>
          </w:p>
          <w:p w:rsidR="00730FFC" w:rsidRPr="00E87B56" w:rsidRDefault="009B5B8A" w:rsidP="00A52072">
            <w:pPr>
              <w:ind w:left="567"/>
              <w:jc w:val="center"/>
            </w:pPr>
            <w:r>
              <w:rPr>
                <w:bCs/>
                <w:noProof/>
                <w:kern w:val="28"/>
                <w:lang w:eastAsia="en-US"/>
              </w:rPr>
              <w:t xml:space="preserve">         </w:t>
            </w:r>
            <w:r w:rsidR="00730FFC" w:rsidRPr="00E87B56">
              <w:rPr>
                <w:bCs/>
                <w:noProof/>
                <w:kern w:val="28"/>
                <w:lang w:eastAsia="en-US"/>
              </w:rPr>
              <w:t xml:space="preserve">Predseda SPPK </w:t>
            </w:r>
          </w:p>
          <w:p w:rsidR="00730FFC" w:rsidRPr="00E87B56" w:rsidRDefault="00730FFC" w:rsidP="00A52072">
            <w:pPr>
              <w:ind w:left="567"/>
            </w:pPr>
          </w:p>
        </w:tc>
      </w:tr>
    </w:tbl>
    <w:p w:rsidR="001E5A58" w:rsidRDefault="001E5A58" w:rsidP="001E5A58">
      <w:pPr>
        <w:pStyle w:val="Zkladntext3"/>
      </w:pPr>
    </w:p>
    <w:p w:rsidR="001E5A58" w:rsidRDefault="001E5A58" w:rsidP="001E5A58">
      <w:pPr>
        <w:pStyle w:val="Zkladntext3"/>
      </w:pPr>
    </w:p>
    <w:p w:rsidR="001E5A58" w:rsidRDefault="001E5A58" w:rsidP="001E5A58">
      <w:pPr>
        <w:pStyle w:val="Zkladntext3"/>
      </w:pPr>
    </w:p>
    <w:p w:rsidR="001E5A58" w:rsidRDefault="001E5A58" w:rsidP="001E5A58">
      <w:pPr>
        <w:pStyle w:val="Zkladntext3"/>
      </w:pPr>
    </w:p>
    <w:p w:rsidR="005E28EF" w:rsidRDefault="005E28EF" w:rsidP="00F170E4">
      <w:pPr>
        <w:tabs>
          <w:tab w:val="left" w:pos="2640"/>
        </w:tabs>
        <w:sectPr w:rsidR="005E28EF" w:rsidSect="001A13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5" w:right="851" w:bottom="1276" w:left="1418" w:header="737" w:footer="567" w:gutter="0"/>
          <w:cols w:space="708"/>
          <w:titlePg/>
          <w:docGrid w:linePitch="360"/>
        </w:sectPr>
      </w:pPr>
    </w:p>
    <w:p w:rsidR="00F170E4" w:rsidRDefault="00F170E4" w:rsidP="00F170E4">
      <w:pPr>
        <w:tabs>
          <w:tab w:val="left" w:pos="2640"/>
        </w:tabs>
      </w:pPr>
    </w:p>
    <w:p w:rsidR="009A12BC" w:rsidRDefault="009A12BC" w:rsidP="00F170E4">
      <w:pPr>
        <w:tabs>
          <w:tab w:val="left" w:pos="2640"/>
        </w:tabs>
      </w:pPr>
    </w:p>
    <w:p w:rsidR="00E32470" w:rsidRDefault="00E32470" w:rsidP="00F170E4">
      <w:pPr>
        <w:tabs>
          <w:tab w:val="left" w:pos="2640"/>
        </w:tabs>
      </w:pPr>
    </w:p>
    <w:p w:rsidR="00E32470" w:rsidRDefault="00E32470" w:rsidP="00E32470">
      <w:pPr>
        <w:ind w:firstLine="284"/>
      </w:pPr>
    </w:p>
    <w:p w:rsidR="00E2611B" w:rsidRDefault="00E2611B" w:rsidP="00E32470">
      <w:pPr>
        <w:ind w:firstLine="284"/>
      </w:pPr>
    </w:p>
    <w:p w:rsidR="00E2611B" w:rsidRDefault="00E2611B" w:rsidP="00E2611B"/>
    <w:p w:rsidR="00E2611B" w:rsidRDefault="00E2611B" w:rsidP="00E2611B"/>
    <w:p w:rsidR="00E2611B" w:rsidRDefault="00E2611B" w:rsidP="00E2611B"/>
    <w:p w:rsidR="00E2611B" w:rsidRDefault="00E2611B" w:rsidP="00E2611B"/>
    <w:p w:rsidR="00E2611B" w:rsidRDefault="00E2611B" w:rsidP="00E2611B"/>
    <w:sectPr w:rsidR="00E2611B" w:rsidSect="008371C3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8A" w:rsidRDefault="00FA718A">
      <w:r>
        <w:separator/>
      </w:r>
    </w:p>
  </w:endnote>
  <w:endnote w:type="continuationSeparator" w:id="0">
    <w:p w:rsidR="00FA718A" w:rsidRDefault="00FA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52" w:rsidRPr="00BE082E" w:rsidRDefault="00C87952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8A" w:rsidRDefault="00FA718A">
      <w:r>
        <w:separator/>
      </w:r>
    </w:p>
  </w:footnote>
  <w:footnote w:type="continuationSeparator" w:id="0">
    <w:p w:rsidR="00FA718A" w:rsidRDefault="00FA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E082E">
    <w:pPr>
      <w:pStyle w:val="Hlavika"/>
    </w:pPr>
    <w:r>
      <w:rPr>
        <w:noProof/>
      </w:rPr>
      <w:pict>
        <v:line id="_x0000_s2077" style="position:absolute;z-index:251658752;mso-position-horizontal-relative:page;mso-position-vertical-relative:page" from="70.9pt,73.7pt" to="554.2pt,73.7pt" wrapcoords="1 1 645 1 645 1 1 1 1 1" strokecolor="#333">
          <w10:wrap type="tight" anchorx="page" anchory="page"/>
          <w10:anchorlock/>
        </v:line>
      </w:pict>
    </w:r>
    <w:r w:rsidR="00BA0B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6.2pt;margin-top:37.65pt;width:252pt;height:45pt;z-index:-251658752;mso-position-horizontal-relative:page;mso-position-vertical-relative:page" filled="f" stroked="f">
          <v:textbox style="mso-next-textbox:#_x0000_s2069" inset="0,0,0,0">
            <w:txbxContent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Slovenská poľnohospodárska a potravinárska komora</w:t>
                </w:r>
              </w:p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Záhradnícka 21, 811 07 Bratislava</w:t>
                </w:r>
              </w:p>
            </w:txbxContent>
          </v:textbox>
          <w10:wrap anchorx="page" anchory="page"/>
          <w10:anchorlock/>
        </v:shape>
      </w:pict>
    </w:r>
    <w:r w:rsidR="009B5B8A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Hlavi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042C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8B4"/>
    <w:multiLevelType w:val="multilevel"/>
    <w:tmpl w:val="174E7604"/>
    <w:lvl w:ilvl="0">
      <w:start w:val="1"/>
      <w:numFmt w:val="none"/>
      <w:pStyle w:val="opnadpisclanku"/>
      <w:suff w:val="nothing"/>
      <w:lvlText w:val="%1"/>
      <w:lvlJc w:val="center"/>
      <w:pPr>
        <w:ind w:left="0" w:firstLine="0"/>
      </w:pPr>
    </w:lvl>
    <w:lvl w:ilvl="1">
      <w:start w:val="1"/>
      <w:numFmt w:val="decimal"/>
      <w:pStyle w:val="opcislo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pStyle w:val="opbod"/>
      <w:lvlText w:val="%3)"/>
      <w:lvlJc w:val="left"/>
      <w:pPr>
        <w:tabs>
          <w:tab w:val="num" w:pos="1440"/>
        </w:tabs>
        <w:ind w:left="144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324E8"/>
    <w:multiLevelType w:val="hybridMultilevel"/>
    <w:tmpl w:val="9412E900"/>
    <w:lvl w:ilvl="0" w:tplc="D736F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965DA6"/>
    <w:multiLevelType w:val="hybridMultilevel"/>
    <w:tmpl w:val="EED05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8A8"/>
    <w:multiLevelType w:val="hybridMultilevel"/>
    <w:tmpl w:val="82600F58"/>
    <w:lvl w:ilvl="0" w:tplc="92A40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AD"/>
    <w:multiLevelType w:val="hybridMultilevel"/>
    <w:tmpl w:val="016E4BAC"/>
    <w:lvl w:ilvl="0" w:tplc="CB564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80FDD"/>
    <w:multiLevelType w:val="hybridMultilevel"/>
    <w:tmpl w:val="8548B4C4"/>
    <w:lvl w:ilvl="0" w:tplc="889C5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D0FD7"/>
    <w:multiLevelType w:val="hybridMultilevel"/>
    <w:tmpl w:val="82C2EEB4"/>
    <w:lvl w:ilvl="0" w:tplc="BFBC18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0A7AC6"/>
    <w:multiLevelType w:val="hybridMultilevel"/>
    <w:tmpl w:val="1804D944"/>
    <w:lvl w:ilvl="0" w:tplc="62B8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933"/>
    <w:rsid w:val="00001242"/>
    <w:rsid w:val="000332FA"/>
    <w:rsid w:val="00040274"/>
    <w:rsid w:val="00052A46"/>
    <w:rsid w:val="000B4231"/>
    <w:rsid w:val="001075AA"/>
    <w:rsid w:val="001A13DB"/>
    <w:rsid w:val="001A7EEC"/>
    <w:rsid w:val="001E5A58"/>
    <w:rsid w:val="001F5DCE"/>
    <w:rsid w:val="00224948"/>
    <w:rsid w:val="002266C7"/>
    <w:rsid w:val="0024424A"/>
    <w:rsid w:val="0024653B"/>
    <w:rsid w:val="0031362F"/>
    <w:rsid w:val="00384B69"/>
    <w:rsid w:val="003A2AC2"/>
    <w:rsid w:val="004206C9"/>
    <w:rsid w:val="00441970"/>
    <w:rsid w:val="0044609E"/>
    <w:rsid w:val="00454828"/>
    <w:rsid w:val="00462EA4"/>
    <w:rsid w:val="00476E3F"/>
    <w:rsid w:val="00500B36"/>
    <w:rsid w:val="0051058E"/>
    <w:rsid w:val="00532AE3"/>
    <w:rsid w:val="005468D0"/>
    <w:rsid w:val="005E28EF"/>
    <w:rsid w:val="0066706C"/>
    <w:rsid w:val="00676E1C"/>
    <w:rsid w:val="006C094F"/>
    <w:rsid w:val="006D3933"/>
    <w:rsid w:val="006F513B"/>
    <w:rsid w:val="0072411B"/>
    <w:rsid w:val="00730FFC"/>
    <w:rsid w:val="0076730B"/>
    <w:rsid w:val="007E3282"/>
    <w:rsid w:val="008371C3"/>
    <w:rsid w:val="00847744"/>
    <w:rsid w:val="008A3736"/>
    <w:rsid w:val="008E02A3"/>
    <w:rsid w:val="00910FB9"/>
    <w:rsid w:val="00973FDD"/>
    <w:rsid w:val="00975F6F"/>
    <w:rsid w:val="009A12BC"/>
    <w:rsid w:val="009B5B8A"/>
    <w:rsid w:val="009D538B"/>
    <w:rsid w:val="00A26CFC"/>
    <w:rsid w:val="00A366A5"/>
    <w:rsid w:val="00A52072"/>
    <w:rsid w:val="00A64BE6"/>
    <w:rsid w:val="00A95188"/>
    <w:rsid w:val="00B042CB"/>
    <w:rsid w:val="00B25201"/>
    <w:rsid w:val="00BA0B32"/>
    <w:rsid w:val="00BC4B43"/>
    <w:rsid w:val="00BE082E"/>
    <w:rsid w:val="00BE11A0"/>
    <w:rsid w:val="00C4325F"/>
    <w:rsid w:val="00C45F9B"/>
    <w:rsid w:val="00C64463"/>
    <w:rsid w:val="00C87952"/>
    <w:rsid w:val="00CC3A74"/>
    <w:rsid w:val="00CE2B89"/>
    <w:rsid w:val="00D46017"/>
    <w:rsid w:val="00DB2D2E"/>
    <w:rsid w:val="00E0063D"/>
    <w:rsid w:val="00E2611B"/>
    <w:rsid w:val="00E32470"/>
    <w:rsid w:val="00E6193E"/>
    <w:rsid w:val="00E63A90"/>
    <w:rsid w:val="00EA7DCF"/>
    <w:rsid w:val="00EC2D70"/>
    <w:rsid w:val="00EC356E"/>
    <w:rsid w:val="00ED4AD5"/>
    <w:rsid w:val="00F01607"/>
    <w:rsid w:val="00F0281A"/>
    <w:rsid w:val="00F170E4"/>
    <w:rsid w:val="00F32445"/>
    <w:rsid w:val="00F739BA"/>
    <w:rsid w:val="00F87399"/>
    <w:rsid w:val="00FA718A"/>
    <w:rsid w:val="00FB5EF3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30F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1E5A58"/>
    <w:pPr>
      <w:jc w:val="both"/>
    </w:pPr>
    <w:rPr>
      <w:bCs/>
      <w:sz w:val="28"/>
      <w:szCs w:val="20"/>
    </w:rPr>
  </w:style>
  <w:style w:type="character" w:customStyle="1" w:styleId="Zkladntext2Char">
    <w:name w:val="Základný text 2 Char"/>
    <w:link w:val="Zkladntext2"/>
    <w:rsid w:val="001E5A58"/>
    <w:rPr>
      <w:bCs/>
      <w:sz w:val="28"/>
    </w:rPr>
  </w:style>
  <w:style w:type="paragraph" w:styleId="Zkladntext3">
    <w:name w:val="Body Text 3"/>
    <w:basedOn w:val="Normlny"/>
    <w:link w:val="Zkladntext3Char"/>
    <w:rsid w:val="001E5A58"/>
    <w:pPr>
      <w:jc w:val="both"/>
    </w:pPr>
    <w:rPr>
      <w:szCs w:val="20"/>
    </w:rPr>
  </w:style>
  <w:style w:type="character" w:customStyle="1" w:styleId="Zkladntext3Char">
    <w:name w:val="Základný text 3 Char"/>
    <w:link w:val="Zkladntext3"/>
    <w:rsid w:val="001E5A58"/>
    <w:rPr>
      <w:sz w:val="24"/>
    </w:rPr>
  </w:style>
  <w:style w:type="paragraph" w:customStyle="1" w:styleId="PODN">
    <w:name w:val="PODN"/>
    <w:basedOn w:val="Nadpis2"/>
    <w:rsid w:val="00730FFC"/>
    <w:pPr>
      <w:widowControl w:val="0"/>
      <w:adjustRightInd w:val="0"/>
      <w:spacing w:before="0" w:after="0" w:line="360" w:lineRule="atLeast"/>
      <w:textAlignment w:val="baseline"/>
    </w:pPr>
    <w:rPr>
      <w:rFonts w:ascii="Century Gothic" w:hAnsi="Century Gothic"/>
      <w:i w:val="0"/>
      <w:iCs w:val="0"/>
      <w:noProof/>
      <w:kern w:val="28"/>
      <w:sz w:val="20"/>
      <w:szCs w:val="20"/>
      <w:lang w:eastAsia="en-US"/>
    </w:rPr>
  </w:style>
  <w:style w:type="paragraph" w:customStyle="1" w:styleId="opbod">
    <w:name w:val="opbod"/>
    <w:basedOn w:val="Normlny"/>
    <w:rsid w:val="00730FFC"/>
    <w:pPr>
      <w:numPr>
        <w:ilvl w:val="2"/>
        <w:numId w:val="2"/>
      </w:numPr>
    </w:pPr>
    <w:rPr>
      <w:sz w:val="20"/>
      <w:szCs w:val="20"/>
    </w:rPr>
  </w:style>
  <w:style w:type="paragraph" w:customStyle="1" w:styleId="opcislo">
    <w:name w:val="opcislo"/>
    <w:basedOn w:val="Normlny"/>
    <w:rsid w:val="00730FFC"/>
    <w:pPr>
      <w:numPr>
        <w:ilvl w:val="1"/>
        <w:numId w:val="2"/>
      </w:numPr>
      <w:spacing w:before="120"/>
    </w:pPr>
    <w:rPr>
      <w:sz w:val="20"/>
      <w:szCs w:val="20"/>
    </w:rPr>
  </w:style>
  <w:style w:type="paragraph" w:customStyle="1" w:styleId="opnadpisclanku">
    <w:name w:val="opnadpisclanku"/>
    <w:basedOn w:val="Normlny"/>
    <w:rsid w:val="00730FFC"/>
    <w:pPr>
      <w:keepNext/>
      <w:numPr>
        <w:numId w:val="2"/>
      </w:numPr>
      <w:jc w:val="center"/>
    </w:pPr>
    <w:rPr>
      <w:sz w:val="22"/>
      <w:szCs w:val="22"/>
    </w:rPr>
  </w:style>
  <w:style w:type="character" w:customStyle="1" w:styleId="Nadpis2Char">
    <w:name w:val="Nadpis 2 Char"/>
    <w:link w:val="Nadpis2"/>
    <w:semiHidden/>
    <w:rsid w:val="00730F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730FFC"/>
    <w:pPr>
      <w:ind w:left="708"/>
    </w:pPr>
  </w:style>
  <w:style w:type="paragraph" w:styleId="Textbubliny">
    <w:name w:val="Balloon Text"/>
    <w:basedOn w:val="Normlny"/>
    <w:link w:val="TextbublinyChar"/>
    <w:rsid w:val="008477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47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SPPK</cp:lastModifiedBy>
  <cp:revision>2</cp:revision>
  <cp:lastPrinted>2018-05-30T08:41:00Z</cp:lastPrinted>
  <dcterms:created xsi:type="dcterms:W3CDTF">2018-06-04T04:27:00Z</dcterms:created>
  <dcterms:modified xsi:type="dcterms:W3CDTF">2018-06-04T04:27:00Z</dcterms:modified>
</cp:coreProperties>
</file>